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E402" w14:textId="77777777" w:rsidR="00AA2867" w:rsidRPr="00B66F58" w:rsidRDefault="003C4E1D">
      <w:pPr>
        <w:spacing w:line="276" w:lineRule="auto"/>
        <w:jc w:val="center"/>
        <w:rPr>
          <w:sz w:val="21"/>
          <w:szCs w:val="21"/>
          <w:u w:val="single"/>
        </w:rPr>
      </w:pPr>
      <w:r w:rsidRPr="00B66F58">
        <w:rPr>
          <w:b/>
          <w:i/>
          <w:sz w:val="21"/>
          <w:szCs w:val="21"/>
          <w:u w:val="single"/>
        </w:rPr>
        <w:t>ESTUDO TÉCNICO PRELIMINAR</w:t>
      </w:r>
    </w:p>
    <w:p w14:paraId="12F5D435" w14:textId="77777777" w:rsidR="00AA2867" w:rsidRPr="00B66F58" w:rsidRDefault="00AA2867">
      <w:pPr>
        <w:spacing w:line="276" w:lineRule="auto"/>
        <w:jc w:val="center"/>
        <w:rPr>
          <w:sz w:val="21"/>
          <w:szCs w:val="21"/>
          <w:u w:val="single"/>
        </w:rPr>
      </w:pPr>
    </w:p>
    <w:p w14:paraId="3CA6569C" w14:textId="77777777" w:rsidR="00AD7D15" w:rsidRPr="00B66F58" w:rsidRDefault="003C4E1D" w:rsidP="00AD7D15">
      <w:pPr>
        <w:spacing w:line="276" w:lineRule="auto"/>
        <w:jc w:val="both"/>
        <w:rPr>
          <w:sz w:val="21"/>
          <w:szCs w:val="21"/>
        </w:rPr>
      </w:pPr>
      <w:r w:rsidRPr="00B66F58">
        <w:rPr>
          <w:b/>
          <w:sz w:val="21"/>
          <w:szCs w:val="21"/>
        </w:rPr>
        <w:t xml:space="preserve">REQUISITANTE: </w:t>
      </w:r>
      <w:r w:rsidRPr="00B66F58">
        <w:rPr>
          <w:sz w:val="21"/>
          <w:szCs w:val="21"/>
        </w:rPr>
        <w:t xml:space="preserve">Diretoria Municipal de Saúde – </w:t>
      </w:r>
      <w:r w:rsidR="00AD7D15" w:rsidRPr="00B66F58">
        <w:rPr>
          <w:sz w:val="21"/>
          <w:szCs w:val="21"/>
        </w:rPr>
        <w:t>Assistência Farmacêutica</w:t>
      </w:r>
    </w:p>
    <w:p w14:paraId="0D4E8DB5" w14:textId="77777777" w:rsidR="00AA2867" w:rsidRPr="00B66F58" w:rsidRDefault="00AA2867">
      <w:pPr>
        <w:spacing w:line="276" w:lineRule="auto"/>
        <w:jc w:val="both"/>
        <w:rPr>
          <w:sz w:val="21"/>
          <w:szCs w:val="21"/>
        </w:rPr>
      </w:pPr>
    </w:p>
    <w:p w14:paraId="199F00B2" w14:textId="77777777" w:rsidR="00AA2867" w:rsidRPr="00B66F58" w:rsidRDefault="003C4E1D">
      <w:pPr>
        <w:spacing w:line="276" w:lineRule="auto"/>
        <w:jc w:val="both"/>
        <w:rPr>
          <w:sz w:val="21"/>
          <w:szCs w:val="21"/>
        </w:rPr>
      </w:pPr>
      <w:r w:rsidRPr="00B66F58">
        <w:rPr>
          <w:b/>
          <w:sz w:val="21"/>
          <w:szCs w:val="21"/>
        </w:rPr>
        <w:t>INTRODUÇÃO</w:t>
      </w:r>
    </w:p>
    <w:p w14:paraId="03EA5907" w14:textId="77777777" w:rsidR="00AA2867" w:rsidRPr="00B66F58" w:rsidRDefault="00AA2867">
      <w:pPr>
        <w:spacing w:line="276" w:lineRule="auto"/>
        <w:jc w:val="both"/>
        <w:rPr>
          <w:sz w:val="21"/>
          <w:szCs w:val="21"/>
        </w:rPr>
      </w:pPr>
    </w:p>
    <w:p w14:paraId="50660309" w14:textId="77777777" w:rsidR="00AA2867" w:rsidRPr="00B66F58" w:rsidRDefault="003C4E1D">
      <w:pPr>
        <w:spacing w:line="276" w:lineRule="auto"/>
        <w:jc w:val="both"/>
        <w:rPr>
          <w:sz w:val="21"/>
          <w:szCs w:val="21"/>
        </w:rPr>
      </w:pPr>
      <w:r w:rsidRPr="00B66F58">
        <w:rPr>
          <w:sz w:val="21"/>
          <w:szCs w:val="21"/>
        </w:rPr>
        <w:t>O presente documento caracteriza a primeira etapa da fase de planejamento e apresenta os devidos estudos para a contratação de solução que atenderá à necessidade abaixo especificada.</w:t>
      </w:r>
    </w:p>
    <w:p w14:paraId="748F5186" w14:textId="5A700E66" w:rsidR="00AA2867" w:rsidRPr="00B66F58" w:rsidRDefault="003C4E1D">
      <w:pPr>
        <w:spacing w:line="276" w:lineRule="auto"/>
        <w:jc w:val="both"/>
        <w:rPr>
          <w:sz w:val="21"/>
          <w:szCs w:val="21"/>
        </w:rPr>
      </w:pPr>
      <w:r w:rsidRPr="00B66F58">
        <w:rPr>
          <w:sz w:val="21"/>
          <w:szCs w:val="21"/>
        </w:rPr>
        <w:t xml:space="preserve">O objetivo principal é estudar detalhadamente a necessidade e identificar no mercado a melhor solução para </w:t>
      </w:r>
      <w:r w:rsidR="00AD7D15" w:rsidRPr="00B66F58">
        <w:rPr>
          <w:sz w:val="21"/>
          <w:szCs w:val="21"/>
        </w:rPr>
        <w:t>supri-la</w:t>
      </w:r>
      <w:r w:rsidRPr="00B66F58">
        <w:rPr>
          <w:sz w:val="21"/>
          <w:szCs w:val="21"/>
        </w:rPr>
        <w:t>, em observância às normas vigentes e aos princípios que regem a Administração Pública.</w:t>
      </w:r>
    </w:p>
    <w:p w14:paraId="3937790B" w14:textId="77777777" w:rsidR="00AA2867" w:rsidRPr="00B66F58" w:rsidRDefault="00AA2867">
      <w:pPr>
        <w:spacing w:line="276" w:lineRule="auto"/>
        <w:jc w:val="both"/>
        <w:rPr>
          <w:sz w:val="21"/>
          <w:szCs w:val="21"/>
        </w:rPr>
      </w:pPr>
    </w:p>
    <w:p w14:paraId="202B5C1C" w14:textId="77777777" w:rsidR="00AA2867" w:rsidRPr="00B66F58" w:rsidRDefault="003C4E1D">
      <w:pPr>
        <w:numPr>
          <w:ilvl w:val="0"/>
          <w:numId w:val="4"/>
        </w:numPr>
        <w:spacing w:line="276" w:lineRule="auto"/>
        <w:jc w:val="both"/>
        <w:rPr>
          <w:sz w:val="21"/>
          <w:szCs w:val="21"/>
        </w:rPr>
      </w:pPr>
      <w:r w:rsidRPr="00B66F58">
        <w:rPr>
          <w:b/>
          <w:sz w:val="21"/>
          <w:szCs w:val="21"/>
        </w:rPr>
        <w:t xml:space="preserve">DESCRIÇÃO DA NECESSIDADE </w:t>
      </w:r>
    </w:p>
    <w:p w14:paraId="3A797218" w14:textId="77777777" w:rsidR="00AA2867" w:rsidRPr="00B66F58" w:rsidRDefault="00AA2867">
      <w:pPr>
        <w:spacing w:line="276" w:lineRule="auto"/>
        <w:ind w:left="360"/>
        <w:jc w:val="both"/>
        <w:rPr>
          <w:sz w:val="21"/>
          <w:szCs w:val="21"/>
        </w:rPr>
      </w:pPr>
    </w:p>
    <w:p w14:paraId="601AC6FA" w14:textId="240B1E97" w:rsidR="00AA2867" w:rsidRPr="00B66F58" w:rsidRDefault="003C4E1D">
      <w:pPr>
        <w:numPr>
          <w:ilvl w:val="1"/>
          <w:numId w:val="4"/>
        </w:numPr>
        <w:spacing w:line="276" w:lineRule="auto"/>
        <w:ind w:left="0" w:firstLine="0"/>
        <w:jc w:val="both"/>
        <w:rPr>
          <w:sz w:val="21"/>
          <w:szCs w:val="21"/>
        </w:rPr>
      </w:pPr>
      <w:r w:rsidRPr="00B66F58">
        <w:rPr>
          <w:sz w:val="21"/>
          <w:szCs w:val="21"/>
        </w:rPr>
        <w:t xml:space="preserve">Este Estudo Técnico Preliminar refere-se à imediata </w:t>
      </w:r>
      <w:r w:rsidR="00AD7D15" w:rsidRPr="00B66F58">
        <w:rPr>
          <w:sz w:val="21"/>
          <w:szCs w:val="21"/>
        </w:rPr>
        <w:t>e futuras</w:t>
      </w:r>
      <w:r w:rsidRPr="00B66F58">
        <w:rPr>
          <w:sz w:val="21"/>
          <w:szCs w:val="21"/>
        </w:rPr>
        <w:t xml:space="preserve"> aquisiç</w:t>
      </w:r>
      <w:r w:rsidR="00AD7D15" w:rsidRPr="00B66F58">
        <w:rPr>
          <w:sz w:val="21"/>
          <w:szCs w:val="21"/>
        </w:rPr>
        <w:t>ão</w:t>
      </w:r>
      <w:r w:rsidRPr="00B66F58">
        <w:rPr>
          <w:sz w:val="21"/>
          <w:szCs w:val="21"/>
        </w:rPr>
        <w:t xml:space="preserve"> do medicamento: </w:t>
      </w:r>
      <w:r w:rsidRPr="00B66F58">
        <w:rPr>
          <w:color w:val="1F1F1F"/>
          <w:sz w:val="21"/>
          <w:szCs w:val="21"/>
          <w:highlight w:val="white"/>
        </w:rPr>
        <w:t xml:space="preserve"> LENALIDOMIDA 25MG (IMUNOMODULDOR</w:t>
      </w:r>
      <w:r w:rsidRPr="00B66F58">
        <w:rPr>
          <w:sz w:val="21"/>
          <w:szCs w:val="21"/>
        </w:rPr>
        <w:t xml:space="preserve">, pelo prazo de 12 (doze) meses, visando o cumprimento da decisão judicial, </w:t>
      </w:r>
      <w:r w:rsidR="00AD7D15" w:rsidRPr="00B66F58">
        <w:rPr>
          <w:sz w:val="21"/>
          <w:szCs w:val="21"/>
        </w:rPr>
        <w:t>referente ao</w:t>
      </w:r>
      <w:r w:rsidRPr="00B66F58">
        <w:rPr>
          <w:sz w:val="21"/>
          <w:szCs w:val="21"/>
        </w:rPr>
        <w:t xml:space="preserve"> processo: </w:t>
      </w:r>
      <w:r w:rsidRPr="00B66F58">
        <w:rPr>
          <w:rFonts w:eastAsia="Arial"/>
          <w:sz w:val="21"/>
          <w:szCs w:val="21"/>
        </w:rPr>
        <w:t>1001308-69.2024.8.26.0210</w:t>
      </w:r>
      <w:r w:rsidRPr="00B66F58">
        <w:rPr>
          <w:sz w:val="21"/>
          <w:szCs w:val="21"/>
        </w:rPr>
        <w:t xml:space="preserve">. </w:t>
      </w:r>
    </w:p>
    <w:p w14:paraId="7E5050DD" w14:textId="5F7E49BE" w:rsidR="00AA2867" w:rsidRPr="00B66F58" w:rsidRDefault="003C4E1D">
      <w:pPr>
        <w:spacing w:line="276" w:lineRule="auto"/>
        <w:ind w:firstLine="567"/>
        <w:jc w:val="both"/>
        <w:rPr>
          <w:sz w:val="21"/>
          <w:szCs w:val="21"/>
        </w:rPr>
      </w:pPr>
      <w:r w:rsidRPr="00B66F58">
        <w:rPr>
          <w:sz w:val="21"/>
          <w:szCs w:val="21"/>
        </w:rPr>
        <w:t>A descriç</w:t>
      </w:r>
      <w:r w:rsidR="00AD7D15" w:rsidRPr="00B66F58">
        <w:rPr>
          <w:sz w:val="21"/>
          <w:szCs w:val="21"/>
        </w:rPr>
        <w:t>ão</w:t>
      </w:r>
      <w:r w:rsidRPr="00B66F58">
        <w:rPr>
          <w:sz w:val="21"/>
          <w:szCs w:val="21"/>
        </w:rPr>
        <w:t xml:space="preserve"> do ite</w:t>
      </w:r>
      <w:r w:rsidR="00AD7D15" w:rsidRPr="00B66F58">
        <w:rPr>
          <w:sz w:val="21"/>
          <w:szCs w:val="21"/>
        </w:rPr>
        <w:t>m</w:t>
      </w:r>
      <w:r w:rsidRPr="00B66F58">
        <w:rPr>
          <w:sz w:val="21"/>
          <w:szCs w:val="21"/>
        </w:rPr>
        <w:t xml:space="preserve">, bem como suas quantidades ficaram a cargo da Assessora de Assistência e Fornecimento Ordens Judiciais, com base em dados dos processos cadastrados e consumo médio mensal computados no sistema eletrônico utilizado pelo Departamento de Farmácia. </w:t>
      </w:r>
    </w:p>
    <w:p w14:paraId="621E321B" w14:textId="09779FD6" w:rsidR="00AD7D15" w:rsidRPr="00B66F58" w:rsidRDefault="003C4E1D" w:rsidP="00AD7D15">
      <w:pPr>
        <w:spacing w:line="276" w:lineRule="auto"/>
        <w:ind w:firstLine="567"/>
        <w:jc w:val="both"/>
        <w:rPr>
          <w:sz w:val="21"/>
          <w:szCs w:val="21"/>
        </w:rPr>
      </w:pPr>
      <w:r w:rsidRPr="00B66F58">
        <w:rPr>
          <w:sz w:val="21"/>
          <w:szCs w:val="21"/>
        </w:rPr>
        <w:t xml:space="preserve">Há de se ressaltar que </w:t>
      </w:r>
      <w:r w:rsidR="00AD7D15" w:rsidRPr="00B66F58">
        <w:rPr>
          <w:sz w:val="21"/>
          <w:szCs w:val="21"/>
        </w:rPr>
        <w:t>a decisão judicial determina</w:t>
      </w:r>
      <w:r w:rsidRPr="00B66F58">
        <w:rPr>
          <w:sz w:val="21"/>
          <w:szCs w:val="21"/>
        </w:rPr>
        <w:t xml:space="preserve"> a concessão do ite</w:t>
      </w:r>
      <w:r w:rsidR="00AD7D15" w:rsidRPr="00B66F58">
        <w:rPr>
          <w:sz w:val="21"/>
          <w:szCs w:val="21"/>
        </w:rPr>
        <w:t>m</w:t>
      </w:r>
      <w:r w:rsidRPr="00B66F58">
        <w:rPr>
          <w:sz w:val="21"/>
          <w:szCs w:val="21"/>
        </w:rPr>
        <w:t xml:space="preserve"> em 30 (</w:t>
      </w:r>
      <w:r w:rsidR="00AD7D15" w:rsidRPr="00B66F58">
        <w:rPr>
          <w:sz w:val="21"/>
          <w:szCs w:val="21"/>
        </w:rPr>
        <w:t>trinta) dias</w:t>
      </w:r>
      <w:r w:rsidRPr="00B66F58">
        <w:rPr>
          <w:sz w:val="21"/>
          <w:szCs w:val="21"/>
        </w:rPr>
        <w:t>, tal aquisição é determinante para evitar multas e sanções ao município e manter o atendimento aos requerentes. Portanto, é imprescindível a programação dos estoques, inclusive o de segurança, e a viabilização do registro de preços como forma de garantir a aquisição dos mesmos para atender a sentença, visto que a descontinuidade da aquisição destes materiais pode prejudicar o atendimento oferecido ao paciente, e ônus ao município. Cabe então ao ente público assegurar o que é previsto no Artigo 196 da Constituição Federal: “A saúde é direito de todos e dever do Estado, garantido mediantes políticas sociais e econômicas que visem à redução do risco de doença e de outros agravos e ao acesso universal e igualitário às ações e serviços para sua promoção, proteção e recuperação.”</w:t>
      </w:r>
    </w:p>
    <w:p w14:paraId="1CBB7EEC" w14:textId="3EA6B5EC" w:rsidR="00AD7D15" w:rsidRPr="00B66F58" w:rsidRDefault="00AD7D15" w:rsidP="00AD7D15">
      <w:pPr>
        <w:spacing w:line="276" w:lineRule="auto"/>
        <w:ind w:firstLine="567"/>
        <w:jc w:val="both"/>
        <w:rPr>
          <w:sz w:val="21"/>
          <w:szCs w:val="21"/>
        </w:rPr>
      </w:pPr>
      <w:r w:rsidRPr="00B66F58">
        <w:rPr>
          <w:sz w:val="21"/>
          <w:szCs w:val="21"/>
        </w:rPr>
        <w:t>A manutenção do atendimento ao requerente, conforme a sentença judicial, reflete diretamente no cumprimento das obrigações constitucionais do município. A interrupção na aquisição do</w:t>
      </w:r>
      <w:r w:rsidR="00DB5900" w:rsidRPr="00B66F58">
        <w:rPr>
          <w:sz w:val="21"/>
          <w:szCs w:val="21"/>
        </w:rPr>
        <w:t xml:space="preserve"> medicamento</w:t>
      </w:r>
      <w:r w:rsidRPr="00B66F58">
        <w:rPr>
          <w:sz w:val="21"/>
          <w:szCs w:val="21"/>
        </w:rPr>
        <w:t xml:space="preserve"> necessário pode resultar em um </w:t>
      </w:r>
      <w:r w:rsidR="00DB5900" w:rsidRPr="00B66F58">
        <w:rPr>
          <w:sz w:val="21"/>
          <w:szCs w:val="21"/>
        </w:rPr>
        <w:t>tratamento</w:t>
      </w:r>
      <w:r w:rsidRPr="00B66F58">
        <w:rPr>
          <w:sz w:val="21"/>
          <w:szCs w:val="21"/>
        </w:rPr>
        <w:t xml:space="preserve"> inadequado ao</w:t>
      </w:r>
      <w:r w:rsidR="00DB5900" w:rsidRPr="00B66F58">
        <w:rPr>
          <w:sz w:val="21"/>
          <w:szCs w:val="21"/>
        </w:rPr>
        <w:t xml:space="preserve"> </w:t>
      </w:r>
      <w:r w:rsidRPr="00B66F58">
        <w:rPr>
          <w:sz w:val="21"/>
          <w:szCs w:val="21"/>
        </w:rPr>
        <w:t xml:space="preserve">paciente, agravando quadro clínico </w:t>
      </w:r>
      <w:r w:rsidR="00DB5900" w:rsidRPr="00B66F58">
        <w:rPr>
          <w:sz w:val="21"/>
          <w:szCs w:val="21"/>
        </w:rPr>
        <w:t>do paciente</w:t>
      </w:r>
      <w:r w:rsidRPr="00B66F58">
        <w:rPr>
          <w:sz w:val="21"/>
          <w:szCs w:val="21"/>
        </w:rPr>
        <w:t>. Além disso, o descumprimento das decisões judiciais pode levar a multas e sanções, onerando ainda mais os cofres públicos e comprometendo a imagem da administração municipal.</w:t>
      </w:r>
    </w:p>
    <w:p w14:paraId="0B275E23" w14:textId="1C0DED11" w:rsidR="00AD7D15" w:rsidRPr="00B66F58" w:rsidRDefault="00AD7D15" w:rsidP="00AD7D15">
      <w:pPr>
        <w:spacing w:line="276" w:lineRule="auto"/>
        <w:ind w:firstLine="567"/>
        <w:jc w:val="both"/>
        <w:rPr>
          <w:sz w:val="21"/>
          <w:szCs w:val="21"/>
        </w:rPr>
      </w:pPr>
      <w:r w:rsidRPr="00B66F58">
        <w:rPr>
          <w:sz w:val="21"/>
          <w:szCs w:val="21"/>
        </w:rPr>
        <w:t xml:space="preserve">Dessa forma, a justificativa para a aquisição do item necessário, conforme descrito pela Assessora de Assistência e Fornecimento de Ordens Judiciais, está fundamentada na </w:t>
      </w:r>
      <w:r w:rsidRPr="00B66F58">
        <w:rPr>
          <w:sz w:val="21"/>
          <w:szCs w:val="21"/>
        </w:rPr>
        <w:lastRenderedPageBreak/>
        <w:t>necessidade de cumprimento da decisão judicial, na otimização dos recursos públicos, na garantia de um atendimento contínuo e eficiente ao paciente e no cumprimento do dever constitucional de assegurar o direito à saúde para todos os cidadãos.</w:t>
      </w:r>
    </w:p>
    <w:p w14:paraId="7B060811" w14:textId="77777777" w:rsidR="00AA2867" w:rsidRPr="00B66F58" w:rsidRDefault="00AA2867">
      <w:pPr>
        <w:spacing w:line="276" w:lineRule="auto"/>
        <w:jc w:val="both"/>
        <w:rPr>
          <w:sz w:val="21"/>
          <w:szCs w:val="21"/>
        </w:rPr>
      </w:pPr>
    </w:p>
    <w:p w14:paraId="31707E0C" w14:textId="77777777" w:rsidR="00AA2867" w:rsidRPr="00B66F58" w:rsidRDefault="003C4E1D">
      <w:pPr>
        <w:numPr>
          <w:ilvl w:val="0"/>
          <w:numId w:val="4"/>
        </w:numPr>
        <w:spacing w:line="276" w:lineRule="auto"/>
        <w:jc w:val="both"/>
        <w:rPr>
          <w:sz w:val="21"/>
          <w:szCs w:val="21"/>
        </w:rPr>
      </w:pPr>
      <w:r w:rsidRPr="00B66F58">
        <w:rPr>
          <w:b/>
          <w:sz w:val="21"/>
          <w:szCs w:val="21"/>
        </w:rPr>
        <w:t>PREVISÃO NO PLANO DE CONTRATAÇÕES ANUAL</w:t>
      </w:r>
    </w:p>
    <w:p w14:paraId="43A04E3A" w14:textId="77777777" w:rsidR="00AA2867" w:rsidRPr="00B66F58" w:rsidRDefault="00AA2867">
      <w:pPr>
        <w:spacing w:line="276" w:lineRule="auto"/>
        <w:ind w:left="360"/>
        <w:jc w:val="both"/>
        <w:rPr>
          <w:sz w:val="21"/>
          <w:szCs w:val="21"/>
        </w:rPr>
      </w:pPr>
    </w:p>
    <w:p w14:paraId="77E5E5ED" w14:textId="77777777" w:rsidR="00AA2867" w:rsidRPr="00B66F58" w:rsidRDefault="003C4E1D">
      <w:pPr>
        <w:numPr>
          <w:ilvl w:val="1"/>
          <w:numId w:val="4"/>
        </w:numPr>
        <w:spacing w:line="276" w:lineRule="auto"/>
        <w:ind w:left="0" w:firstLine="0"/>
        <w:jc w:val="both"/>
        <w:rPr>
          <w:sz w:val="21"/>
          <w:szCs w:val="21"/>
        </w:rPr>
      </w:pPr>
      <w:r w:rsidRPr="00B66F58">
        <w:rPr>
          <w:sz w:val="21"/>
          <w:szCs w:val="21"/>
        </w:rPr>
        <w:t xml:space="preserve">O Plano Anual de Contratação está em fase de elaboração, considerando que o serviço a ser contratado é continuo, o mesmo será ao plano futuro. </w:t>
      </w:r>
    </w:p>
    <w:p w14:paraId="6E67859B" w14:textId="77777777" w:rsidR="00AA2867" w:rsidRPr="00B66F58" w:rsidRDefault="00AA2867">
      <w:pPr>
        <w:spacing w:line="276" w:lineRule="auto"/>
        <w:jc w:val="both"/>
        <w:rPr>
          <w:sz w:val="21"/>
          <w:szCs w:val="21"/>
        </w:rPr>
      </w:pPr>
    </w:p>
    <w:p w14:paraId="147D7389" w14:textId="77777777" w:rsidR="00AA2867" w:rsidRPr="00B66F58" w:rsidRDefault="003C4E1D">
      <w:pPr>
        <w:numPr>
          <w:ilvl w:val="0"/>
          <w:numId w:val="4"/>
        </w:numPr>
        <w:spacing w:line="276" w:lineRule="auto"/>
        <w:jc w:val="both"/>
        <w:rPr>
          <w:sz w:val="21"/>
          <w:szCs w:val="21"/>
        </w:rPr>
      </w:pPr>
      <w:r w:rsidRPr="00B66F58">
        <w:rPr>
          <w:b/>
          <w:sz w:val="21"/>
          <w:szCs w:val="21"/>
        </w:rPr>
        <w:t>REQUISITOS DA CONTRATAÇÃO</w:t>
      </w:r>
    </w:p>
    <w:p w14:paraId="2BC61BB9" w14:textId="77777777" w:rsidR="00AA2867" w:rsidRPr="00B66F58" w:rsidRDefault="00AA2867">
      <w:pPr>
        <w:spacing w:line="276" w:lineRule="auto"/>
        <w:ind w:left="360"/>
        <w:jc w:val="both"/>
        <w:rPr>
          <w:sz w:val="21"/>
          <w:szCs w:val="21"/>
        </w:rPr>
      </w:pPr>
    </w:p>
    <w:p w14:paraId="6A225096" w14:textId="77777777" w:rsidR="00AA2867" w:rsidRPr="00B66F58" w:rsidRDefault="003C4E1D">
      <w:pPr>
        <w:numPr>
          <w:ilvl w:val="1"/>
          <w:numId w:val="4"/>
        </w:numPr>
        <w:spacing w:line="259" w:lineRule="auto"/>
        <w:ind w:left="0" w:firstLine="0"/>
        <w:jc w:val="both"/>
        <w:rPr>
          <w:sz w:val="21"/>
          <w:szCs w:val="21"/>
        </w:rPr>
      </w:pPr>
      <w:r w:rsidRPr="00B66F58">
        <w:rPr>
          <w:sz w:val="21"/>
          <w:szCs w:val="21"/>
        </w:rPr>
        <w:t>Os licitantes deverão indicar as seguintes informações na descrição detalhada do objeto ofertado:</w:t>
      </w:r>
    </w:p>
    <w:p w14:paraId="417A762A" w14:textId="77777777" w:rsidR="00AA2867" w:rsidRPr="00B66F58" w:rsidRDefault="003C4E1D">
      <w:pPr>
        <w:spacing w:line="259" w:lineRule="auto"/>
        <w:jc w:val="both"/>
        <w:rPr>
          <w:sz w:val="21"/>
          <w:szCs w:val="21"/>
        </w:rPr>
      </w:pPr>
      <w:r w:rsidRPr="00B66F58">
        <w:rPr>
          <w:b/>
          <w:sz w:val="21"/>
          <w:szCs w:val="21"/>
        </w:rPr>
        <w:t>3.1.1.</w:t>
      </w:r>
      <w:r w:rsidRPr="00B66F58">
        <w:rPr>
          <w:sz w:val="21"/>
          <w:szCs w:val="21"/>
        </w:rPr>
        <w:t xml:space="preserve">   Especificações técnicas;</w:t>
      </w:r>
    </w:p>
    <w:p w14:paraId="121403C6" w14:textId="500964C5" w:rsidR="00AA2867" w:rsidRPr="00B66F58" w:rsidRDefault="003C4E1D">
      <w:pPr>
        <w:numPr>
          <w:ilvl w:val="2"/>
          <w:numId w:val="10"/>
        </w:numPr>
        <w:spacing w:line="276" w:lineRule="auto"/>
        <w:ind w:left="0" w:firstLine="0"/>
        <w:jc w:val="both"/>
        <w:rPr>
          <w:sz w:val="21"/>
          <w:szCs w:val="21"/>
        </w:rPr>
      </w:pPr>
      <w:r w:rsidRPr="00B66F58">
        <w:rPr>
          <w:sz w:val="21"/>
          <w:szCs w:val="21"/>
        </w:rPr>
        <w:t>Número de registro vigente no Ministério da Saúde/ANVISA ou declaração de isenção de registro (</w:t>
      </w:r>
      <w:r w:rsidR="00DB5900" w:rsidRPr="00B66F58">
        <w:rPr>
          <w:sz w:val="21"/>
          <w:szCs w:val="21"/>
        </w:rPr>
        <w:t>se cabível</w:t>
      </w:r>
      <w:r w:rsidRPr="00B66F58">
        <w:rPr>
          <w:sz w:val="21"/>
          <w:szCs w:val="21"/>
        </w:rPr>
        <w:t>);</w:t>
      </w:r>
    </w:p>
    <w:p w14:paraId="24E18698" w14:textId="77777777" w:rsidR="00AA2867" w:rsidRPr="00B66F58" w:rsidRDefault="003C4E1D">
      <w:pPr>
        <w:numPr>
          <w:ilvl w:val="1"/>
          <w:numId w:val="10"/>
        </w:numPr>
        <w:spacing w:line="276" w:lineRule="auto"/>
        <w:ind w:left="0" w:firstLine="0"/>
        <w:jc w:val="both"/>
        <w:rPr>
          <w:sz w:val="21"/>
          <w:szCs w:val="21"/>
        </w:rPr>
      </w:pPr>
      <w:r w:rsidRPr="00B66F58">
        <w:rPr>
          <w:sz w:val="21"/>
          <w:szCs w:val="21"/>
        </w:rPr>
        <w:t xml:space="preserve">No caso de exercício de atividade de fabricação, importação ou distribuição de medicamentos e/ou materiais de uso em saúde, o licitante deverá anexar, juntamente com a proposta, os seguintes documentos: </w:t>
      </w:r>
    </w:p>
    <w:p w14:paraId="7AF52984" w14:textId="77777777" w:rsidR="00AA2867" w:rsidRPr="00B66F58" w:rsidRDefault="003C4E1D">
      <w:pPr>
        <w:spacing w:line="276" w:lineRule="auto"/>
        <w:jc w:val="both"/>
        <w:rPr>
          <w:sz w:val="21"/>
          <w:szCs w:val="21"/>
        </w:rPr>
      </w:pPr>
      <w:r w:rsidRPr="00B66F58">
        <w:rPr>
          <w:b/>
          <w:sz w:val="21"/>
          <w:szCs w:val="21"/>
        </w:rPr>
        <w:t>3.2.1.</w:t>
      </w:r>
      <w:r w:rsidRPr="00B66F58">
        <w:rPr>
          <w:sz w:val="21"/>
          <w:szCs w:val="21"/>
        </w:rPr>
        <w:tab/>
        <w:t>Autorização para funcionamento, expedida pela ANVISA;</w:t>
      </w:r>
    </w:p>
    <w:p w14:paraId="2A46A4EA" w14:textId="77777777" w:rsidR="00AA2867" w:rsidRPr="00B66F58" w:rsidRDefault="003C4E1D">
      <w:pPr>
        <w:spacing w:line="276" w:lineRule="auto"/>
        <w:jc w:val="both"/>
        <w:rPr>
          <w:sz w:val="21"/>
          <w:szCs w:val="21"/>
        </w:rPr>
      </w:pPr>
      <w:r w:rsidRPr="00B66F58">
        <w:rPr>
          <w:b/>
          <w:sz w:val="21"/>
          <w:szCs w:val="21"/>
        </w:rPr>
        <w:t>3.2.2.</w:t>
      </w:r>
      <w:r w:rsidRPr="00B66F58">
        <w:rPr>
          <w:sz w:val="21"/>
          <w:szCs w:val="21"/>
        </w:rPr>
        <w:tab/>
        <w:t>Licença de Funcionamento Estadual ou Municipal, emitida pelo Serviço de Vigilância Sanitária da Secretaria de Saúde Estadual ou Municipal da sede do licitante.</w:t>
      </w:r>
    </w:p>
    <w:p w14:paraId="73317780" w14:textId="77777777" w:rsidR="00AA2867" w:rsidRPr="00B66F58" w:rsidRDefault="003C4E1D">
      <w:pPr>
        <w:spacing w:line="276" w:lineRule="auto"/>
        <w:jc w:val="both"/>
        <w:rPr>
          <w:sz w:val="21"/>
          <w:szCs w:val="21"/>
        </w:rPr>
      </w:pPr>
      <w:r w:rsidRPr="00B66F58">
        <w:rPr>
          <w:b/>
          <w:sz w:val="21"/>
          <w:szCs w:val="21"/>
        </w:rPr>
        <w:t>3.3.</w:t>
      </w:r>
      <w:r w:rsidRPr="00B66F58">
        <w:rPr>
          <w:sz w:val="21"/>
          <w:szCs w:val="21"/>
        </w:rPr>
        <w:t xml:space="preserve"> </w:t>
      </w:r>
      <w:r w:rsidRPr="00B66F58">
        <w:rPr>
          <w:sz w:val="21"/>
          <w:szCs w:val="21"/>
        </w:rPr>
        <w:tab/>
        <w:t>Entregar o produto conforme especificações deste Termo de Referência e de sua proposta e em perfeitas condições de higiene conservação,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4BC2692D" w14:textId="77777777" w:rsidR="00AA2867" w:rsidRPr="00B66F58" w:rsidRDefault="003C4E1D">
      <w:pPr>
        <w:numPr>
          <w:ilvl w:val="1"/>
          <w:numId w:val="12"/>
        </w:numPr>
        <w:spacing w:line="276" w:lineRule="auto"/>
        <w:ind w:left="0" w:firstLine="0"/>
        <w:jc w:val="both"/>
        <w:rPr>
          <w:sz w:val="21"/>
          <w:szCs w:val="21"/>
        </w:rPr>
      </w:pPr>
      <w:r w:rsidRPr="00B66F58">
        <w:rPr>
          <w:sz w:val="21"/>
          <w:szCs w:val="21"/>
        </w:rPr>
        <w:t>Reparar, corrigir, remover ou substituir, às suas expensas, no total ou em parte, no prazo fixado pelo Gestor/Fiscal do contrato, os produtos efetuados em que se verificarem vícios, defeitos ou incorreções resultantes da execução ou dos materiais empregados;</w:t>
      </w:r>
    </w:p>
    <w:p w14:paraId="7C49D0F7" w14:textId="77777777" w:rsidR="00AA2867" w:rsidRPr="00B66F58" w:rsidRDefault="003C4E1D">
      <w:pPr>
        <w:numPr>
          <w:ilvl w:val="1"/>
          <w:numId w:val="12"/>
        </w:numPr>
        <w:spacing w:line="276" w:lineRule="auto"/>
        <w:ind w:left="0" w:firstLine="0"/>
        <w:jc w:val="both"/>
        <w:rPr>
          <w:sz w:val="21"/>
          <w:szCs w:val="21"/>
        </w:rPr>
      </w:pPr>
      <w:r w:rsidRPr="00B66F58">
        <w:rPr>
          <w:sz w:val="21"/>
          <w:szCs w:val="21"/>
        </w:rPr>
        <w:t>Responsabilizar-se pelos vícios e danos decorrentes da execução do objeto, de acordo com os artigos 14 e 17 a 27, do Código de Defesa do Consumidor (Lei nº 8.078, de 1990), ficando a Contratante autorizada a descontar da garantia, caso exigido no edital, ou dos pagamentos devidos à Contratada, o valor correspondente aos danos sofridos;</w:t>
      </w:r>
    </w:p>
    <w:p w14:paraId="36E289F8" w14:textId="77777777" w:rsidR="00AA2867" w:rsidRPr="00B66F58" w:rsidRDefault="003C4E1D">
      <w:pPr>
        <w:numPr>
          <w:ilvl w:val="1"/>
          <w:numId w:val="12"/>
        </w:numPr>
        <w:spacing w:line="276" w:lineRule="auto"/>
        <w:ind w:left="0" w:firstLine="0"/>
        <w:jc w:val="both"/>
        <w:rPr>
          <w:sz w:val="21"/>
          <w:szCs w:val="21"/>
        </w:rPr>
      </w:pPr>
      <w:r w:rsidRPr="00B66F58">
        <w:rPr>
          <w:sz w:val="21"/>
          <w:szCs w:val="21"/>
        </w:rPr>
        <w:t>Manter durante toda a vigência do contrato, em compatibilidade com as obrigações assumidas, todas as condições de habilitação e qualificação exigidas.</w:t>
      </w:r>
    </w:p>
    <w:p w14:paraId="21321900" w14:textId="762F2B4D" w:rsidR="00F279AC" w:rsidRPr="00B66F58" w:rsidRDefault="00F279AC">
      <w:pPr>
        <w:numPr>
          <w:ilvl w:val="1"/>
          <w:numId w:val="12"/>
        </w:numPr>
        <w:spacing w:line="276" w:lineRule="auto"/>
        <w:ind w:left="0" w:firstLine="0"/>
        <w:jc w:val="both"/>
        <w:rPr>
          <w:sz w:val="21"/>
          <w:szCs w:val="21"/>
        </w:rPr>
      </w:pPr>
      <w:r w:rsidRPr="00B66F58">
        <w:rPr>
          <w:sz w:val="21"/>
          <w:szCs w:val="21"/>
        </w:rPr>
        <w:t>Por ser tratar de tratamento oncológico, onde há possibilidade de interrupção, alteração conforme evolução do quadro clinico do paciente, a contratação poderá ser distratada unilateralmente pelo município sem que haja sanções para ambas as partes.</w:t>
      </w:r>
    </w:p>
    <w:p w14:paraId="2BD3BAD9" w14:textId="77777777" w:rsidR="00AA2867" w:rsidRPr="00B66F58" w:rsidRDefault="00AA2867">
      <w:pPr>
        <w:spacing w:line="276" w:lineRule="auto"/>
        <w:jc w:val="both"/>
        <w:rPr>
          <w:sz w:val="21"/>
          <w:szCs w:val="21"/>
        </w:rPr>
      </w:pPr>
    </w:p>
    <w:p w14:paraId="74B3E2CE" w14:textId="77777777" w:rsidR="00AA2867" w:rsidRPr="00B66F58" w:rsidRDefault="003C4E1D">
      <w:pPr>
        <w:numPr>
          <w:ilvl w:val="0"/>
          <w:numId w:val="13"/>
        </w:numPr>
        <w:spacing w:line="276" w:lineRule="auto"/>
        <w:jc w:val="both"/>
        <w:rPr>
          <w:sz w:val="21"/>
          <w:szCs w:val="21"/>
        </w:rPr>
      </w:pPr>
      <w:r w:rsidRPr="00B66F58">
        <w:rPr>
          <w:b/>
          <w:sz w:val="21"/>
          <w:szCs w:val="21"/>
        </w:rPr>
        <w:t>ESTIMATIVA DAS QUANTIDADES</w:t>
      </w:r>
    </w:p>
    <w:p w14:paraId="34110015" w14:textId="77777777" w:rsidR="00AA2867" w:rsidRPr="00B66F58" w:rsidRDefault="00AA2867">
      <w:pPr>
        <w:spacing w:line="276" w:lineRule="auto"/>
        <w:ind w:left="360"/>
        <w:jc w:val="both"/>
        <w:rPr>
          <w:sz w:val="21"/>
          <w:szCs w:val="21"/>
        </w:rPr>
      </w:pPr>
    </w:p>
    <w:p w14:paraId="0B3CFA3A" w14:textId="59E1C882" w:rsidR="00AA2867" w:rsidRPr="00B66F58" w:rsidRDefault="003C4E1D">
      <w:pPr>
        <w:spacing w:line="276" w:lineRule="auto"/>
        <w:jc w:val="both"/>
        <w:rPr>
          <w:sz w:val="21"/>
          <w:szCs w:val="21"/>
        </w:rPr>
      </w:pPr>
      <w:r w:rsidRPr="00B66F58">
        <w:rPr>
          <w:b/>
          <w:sz w:val="21"/>
          <w:szCs w:val="21"/>
        </w:rPr>
        <w:lastRenderedPageBreak/>
        <w:t>4.1.</w:t>
      </w:r>
      <w:r w:rsidRPr="00B66F58">
        <w:rPr>
          <w:b/>
          <w:sz w:val="21"/>
          <w:szCs w:val="21"/>
        </w:rPr>
        <w:tab/>
      </w:r>
      <w:r w:rsidRPr="00B66F58">
        <w:rPr>
          <w:sz w:val="21"/>
          <w:szCs w:val="21"/>
        </w:rPr>
        <w:t>A estimativa do quantitativo do produto foi realizada de acordo com a prescrição inserida nos autos do processo judicial cadastrados para concessão deste ite</w:t>
      </w:r>
      <w:r w:rsidR="0088049B" w:rsidRPr="00B66F58">
        <w:rPr>
          <w:sz w:val="21"/>
          <w:szCs w:val="21"/>
        </w:rPr>
        <w:t>m</w:t>
      </w:r>
      <w:r w:rsidRPr="00B66F58">
        <w:rPr>
          <w:sz w:val="21"/>
          <w:szCs w:val="21"/>
        </w:rPr>
        <w:t xml:space="preserve">, seguindo a posologia atual. As quantidades mínimas e máximas serão revisadas a cada renovação do processo licitatório, caso haja a inserção de novos processos, no momento a quantidade estimada permitirá atender o requerente, considerando ser uma prescrição especifica para o paciente, com o propósito de garantir a segurança, eficácia e qualidade dos produtos, a promoção do uso racional e o cumprimento das ações dentro dos prazos estipulados. </w:t>
      </w:r>
    </w:p>
    <w:p w14:paraId="3D583952" w14:textId="34F5C62E" w:rsidR="00AA2867" w:rsidRPr="00B66F58" w:rsidRDefault="003C4E1D">
      <w:pPr>
        <w:spacing w:line="276" w:lineRule="auto"/>
        <w:ind w:firstLine="709"/>
        <w:jc w:val="both"/>
        <w:rPr>
          <w:b/>
          <w:sz w:val="21"/>
          <w:szCs w:val="21"/>
        </w:rPr>
      </w:pPr>
      <w:r w:rsidRPr="00B66F58">
        <w:rPr>
          <w:sz w:val="21"/>
          <w:szCs w:val="21"/>
        </w:rPr>
        <w:t>A estimativa do custo do produto pleiteado, fo</w:t>
      </w:r>
      <w:r w:rsidR="0088049B" w:rsidRPr="00B66F58">
        <w:rPr>
          <w:sz w:val="21"/>
          <w:szCs w:val="21"/>
        </w:rPr>
        <w:t>i</w:t>
      </w:r>
      <w:r w:rsidRPr="00B66F58">
        <w:rPr>
          <w:sz w:val="21"/>
          <w:szCs w:val="21"/>
        </w:rPr>
        <w:t xml:space="preserve"> baseado </w:t>
      </w:r>
      <w:proofErr w:type="gramStart"/>
      <w:r w:rsidRPr="00B66F58">
        <w:rPr>
          <w:sz w:val="21"/>
          <w:szCs w:val="21"/>
        </w:rPr>
        <w:t xml:space="preserve">no </w:t>
      </w:r>
      <w:r w:rsidRPr="00B66F58">
        <w:rPr>
          <w:rFonts w:eastAsia="Calibri"/>
          <w:b/>
          <w:sz w:val="21"/>
          <w:szCs w:val="21"/>
        </w:rPr>
        <w:t xml:space="preserve"> PMVG</w:t>
      </w:r>
      <w:proofErr w:type="gramEnd"/>
      <w:r w:rsidRPr="00B66F58">
        <w:rPr>
          <w:rFonts w:eastAsia="Calibri"/>
          <w:b/>
          <w:sz w:val="21"/>
          <w:szCs w:val="21"/>
        </w:rPr>
        <w:t>: teto de preço para compra dos medicamentos inseridos na lista de produtos sujeitos ao CAP (Resolução CTE-CMED Nº6, 27 de maio de 2021), ou ainda qualquer medicamento adquirido por força de decisão judicial, caso deste item em questão</w:t>
      </w:r>
      <w:r w:rsidRPr="00B66F58">
        <w:rPr>
          <w:b/>
          <w:sz w:val="21"/>
          <w:szCs w:val="21"/>
        </w:rPr>
        <w:t xml:space="preserve"> descritos conforme planilha abaixo: </w:t>
      </w:r>
    </w:p>
    <w:p w14:paraId="7C9BC5BE" w14:textId="77777777" w:rsidR="00AA2867" w:rsidRPr="00B66F58" w:rsidRDefault="00AA2867">
      <w:pPr>
        <w:spacing w:line="276" w:lineRule="auto"/>
        <w:ind w:firstLine="709"/>
        <w:jc w:val="both"/>
        <w:rPr>
          <w:sz w:val="21"/>
          <w:szCs w:val="21"/>
        </w:rPr>
      </w:pPr>
    </w:p>
    <w:tbl>
      <w:tblPr>
        <w:tblStyle w:val="a"/>
        <w:tblW w:w="9923" w:type="dxa"/>
        <w:tblInd w:w="-364" w:type="dxa"/>
        <w:tblLayout w:type="fixed"/>
        <w:tblLook w:val="0000" w:firstRow="0" w:lastRow="0" w:firstColumn="0" w:lastColumn="0" w:noHBand="0" w:noVBand="0"/>
      </w:tblPr>
      <w:tblGrid>
        <w:gridCol w:w="567"/>
        <w:gridCol w:w="2764"/>
        <w:gridCol w:w="1701"/>
        <w:gridCol w:w="1064"/>
        <w:gridCol w:w="992"/>
        <w:gridCol w:w="1134"/>
        <w:gridCol w:w="1701"/>
      </w:tblGrid>
      <w:tr w:rsidR="00AA2867" w:rsidRPr="00B66F58" w14:paraId="6326FCB5" w14:textId="77777777" w:rsidTr="00886AF0">
        <w:trPr>
          <w:trHeight w:val="480"/>
        </w:trPr>
        <w:tc>
          <w:tcPr>
            <w:tcW w:w="567" w:type="dxa"/>
            <w:tcBorders>
              <w:top w:val="single" w:sz="8" w:space="0" w:color="000000"/>
              <w:left w:val="single" w:sz="8" w:space="0" w:color="000000"/>
              <w:bottom w:val="single" w:sz="4" w:space="0" w:color="auto"/>
              <w:right w:val="nil"/>
            </w:tcBorders>
            <w:vAlign w:val="center"/>
          </w:tcPr>
          <w:p w14:paraId="7EFE0ABF" w14:textId="77777777" w:rsidR="00AA2867" w:rsidRPr="00B66F58" w:rsidRDefault="003C4E1D">
            <w:pPr>
              <w:jc w:val="center"/>
              <w:rPr>
                <w:rFonts w:eastAsia="Calibri"/>
                <w:color w:val="000000"/>
                <w:sz w:val="21"/>
                <w:szCs w:val="21"/>
              </w:rPr>
            </w:pPr>
            <w:r w:rsidRPr="00B66F58">
              <w:rPr>
                <w:rFonts w:eastAsia="Calibri"/>
                <w:b/>
                <w:sz w:val="21"/>
                <w:szCs w:val="21"/>
              </w:rPr>
              <w:t>ITEM</w:t>
            </w:r>
          </w:p>
        </w:tc>
        <w:tc>
          <w:tcPr>
            <w:tcW w:w="2764" w:type="dxa"/>
            <w:tcBorders>
              <w:top w:val="single" w:sz="8" w:space="0" w:color="000000"/>
              <w:left w:val="single" w:sz="4" w:space="0" w:color="000000"/>
              <w:bottom w:val="single" w:sz="4" w:space="0" w:color="auto"/>
              <w:right w:val="single" w:sz="4" w:space="0" w:color="000000"/>
            </w:tcBorders>
            <w:vAlign w:val="center"/>
          </w:tcPr>
          <w:p w14:paraId="72EF43FC" w14:textId="77777777" w:rsidR="00AA2867" w:rsidRPr="00B66F58" w:rsidRDefault="003C4E1D">
            <w:pPr>
              <w:jc w:val="center"/>
              <w:rPr>
                <w:rFonts w:eastAsia="Calibri"/>
                <w:color w:val="000000"/>
                <w:sz w:val="21"/>
                <w:szCs w:val="21"/>
              </w:rPr>
            </w:pPr>
            <w:r w:rsidRPr="00B66F58">
              <w:rPr>
                <w:rFonts w:eastAsia="Calibri"/>
                <w:b/>
                <w:color w:val="000000"/>
                <w:sz w:val="21"/>
                <w:szCs w:val="21"/>
              </w:rPr>
              <w:t>DESCRIÇÃO</w:t>
            </w:r>
          </w:p>
        </w:tc>
        <w:tc>
          <w:tcPr>
            <w:tcW w:w="1701" w:type="dxa"/>
            <w:tcBorders>
              <w:top w:val="single" w:sz="8" w:space="0" w:color="000000"/>
              <w:left w:val="nil"/>
              <w:bottom w:val="single" w:sz="4" w:space="0" w:color="auto"/>
              <w:right w:val="nil"/>
            </w:tcBorders>
            <w:vAlign w:val="center"/>
          </w:tcPr>
          <w:p w14:paraId="60100B76" w14:textId="77777777" w:rsidR="00AA2867" w:rsidRPr="00B66F58" w:rsidRDefault="003C4E1D">
            <w:pPr>
              <w:jc w:val="center"/>
              <w:rPr>
                <w:rFonts w:eastAsia="Calibri"/>
                <w:color w:val="000000"/>
                <w:sz w:val="21"/>
                <w:szCs w:val="21"/>
              </w:rPr>
            </w:pPr>
            <w:r w:rsidRPr="00B66F58">
              <w:rPr>
                <w:rFonts w:eastAsia="Calibri"/>
                <w:b/>
                <w:color w:val="000000"/>
                <w:sz w:val="21"/>
                <w:szCs w:val="21"/>
              </w:rPr>
              <w:t>APRES.</w:t>
            </w:r>
          </w:p>
        </w:tc>
        <w:tc>
          <w:tcPr>
            <w:tcW w:w="1064" w:type="dxa"/>
            <w:tcBorders>
              <w:top w:val="single" w:sz="8" w:space="0" w:color="000000"/>
              <w:left w:val="single" w:sz="4" w:space="0" w:color="000000"/>
              <w:bottom w:val="single" w:sz="4" w:space="0" w:color="auto"/>
              <w:right w:val="single" w:sz="4" w:space="0" w:color="000000"/>
            </w:tcBorders>
            <w:vAlign w:val="center"/>
          </w:tcPr>
          <w:p w14:paraId="6294A3E1" w14:textId="77777777" w:rsidR="00AA2867" w:rsidRPr="00B66F58" w:rsidRDefault="003C4E1D">
            <w:pPr>
              <w:jc w:val="center"/>
              <w:rPr>
                <w:rFonts w:eastAsia="Calibri"/>
                <w:color w:val="000000"/>
                <w:sz w:val="21"/>
                <w:szCs w:val="21"/>
              </w:rPr>
            </w:pPr>
            <w:r w:rsidRPr="00B66F58">
              <w:rPr>
                <w:rFonts w:eastAsia="Calibri"/>
                <w:b/>
                <w:color w:val="000000"/>
                <w:sz w:val="21"/>
                <w:szCs w:val="21"/>
              </w:rPr>
              <w:t>MINIMO</w:t>
            </w:r>
          </w:p>
        </w:tc>
        <w:tc>
          <w:tcPr>
            <w:tcW w:w="992" w:type="dxa"/>
            <w:tcBorders>
              <w:top w:val="single" w:sz="8" w:space="0" w:color="000000"/>
              <w:left w:val="single" w:sz="4" w:space="0" w:color="000000"/>
              <w:bottom w:val="single" w:sz="4" w:space="0" w:color="auto"/>
              <w:right w:val="single" w:sz="4" w:space="0" w:color="000000"/>
            </w:tcBorders>
            <w:vAlign w:val="center"/>
          </w:tcPr>
          <w:p w14:paraId="7B5FCBCC" w14:textId="77777777" w:rsidR="00AA2867" w:rsidRPr="00B66F58" w:rsidRDefault="003C4E1D">
            <w:pPr>
              <w:jc w:val="center"/>
              <w:rPr>
                <w:rFonts w:eastAsia="Calibri"/>
                <w:color w:val="000000"/>
                <w:sz w:val="21"/>
                <w:szCs w:val="21"/>
              </w:rPr>
            </w:pPr>
            <w:r w:rsidRPr="00B66F58">
              <w:rPr>
                <w:rFonts w:eastAsia="Calibri"/>
                <w:b/>
                <w:color w:val="000000"/>
                <w:sz w:val="21"/>
                <w:szCs w:val="21"/>
              </w:rPr>
              <w:t>MAXIMO</w:t>
            </w:r>
          </w:p>
        </w:tc>
        <w:tc>
          <w:tcPr>
            <w:tcW w:w="1134" w:type="dxa"/>
            <w:tcBorders>
              <w:top w:val="single" w:sz="8" w:space="0" w:color="000000"/>
              <w:left w:val="single" w:sz="4" w:space="0" w:color="000000"/>
              <w:bottom w:val="single" w:sz="4" w:space="0" w:color="auto"/>
              <w:right w:val="single" w:sz="4" w:space="0" w:color="000000"/>
            </w:tcBorders>
            <w:vAlign w:val="center"/>
          </w:tcPr>
          <w:p w14:paraId="251A41E1" w14:textId="77777777" w:rsidR="00AA2867" w:rsidRPr="00B66F58" w:rsidRDefault="003C4E1D">
            <w:pPr>
              <w:jc w:val="center"/>
              <w:rPr>
                <w:rFonts w:eastAsia="Calibri"/>
                <w:color w:val="000000"/>
                <w:sz w:val="21"/>
                <w:szCs w:val="21"/>
              </w:rPr>
            </w:pPr>
            <w:r w:rsidRPr="00B66F58">
              <w:rPr>
                <w:rFonts w:eastAsia="Calibri"/>
                <w:b/>
                <w:color w:val="000000"/>
                <w:sz w:val="21"/>
                <w:szCs w:val="21"/>
              </w:rPr>
              <w:t xml:space="preserve">CMED </w:t>
            </w:r>
          </w:p>
          <w:p w14:paraId="7B5E1672" w14:textId="77777777" w:rsidR="00AA2867" w:rsidRPr="00B66F58" w:rsidRDefault="003C4E1D">
            <w:pPr>
              <w:jc w:val="center"/>
              <w:rPr>
                <w:rFonts w:eastAsia="Calibri"/>
                <w:color w:val="000000"/>
                <w:sz w:val="21"/>
                <w:szCs w:val="21"/>
              </w:rPr>
            </w:pPr>
            <w:r w:rsidRPr="00B66F58">
              <w:rPr>
                <w:rFonts w:eastAsia="Calibri"/>
                <w:b/>
                <w:color w:val="000000"/>
                <w:sz w:val="21"/>
                <w:szCs w:val="21"/>
              </w:rPr>
              <w:t>PMGV</w:t>
            </w:r>
          </w:p>
          <w:p w14:paraId="63901F14" w14:textId="77777777" w:rsidR="00AA2867" w:rsidRPr="00B66F58" w:rsidRDefault="003C4E1D">
            <w:pPr>
              <w:jc w:val="center"/>
              <w:rPr>
                <w:rFonts w:eastAsia="Calibri"/>
                <w:color w:val="000000"/>
                <w:sz w:val="21"/>
                <w:szCs w:val="21"/>
              </w:rPr>
            </w:pPr>
            <w:r w:rsidRPr="00B66F58">
              <w:rPr>
                <w:rFonts w:eastAsia="Calibri"/>
                <w:b/>
                <w:color w:val="000000"/>
                <w:sz w:val="21"/>
                <w:szCs w:val="21"/>
              </w:rPr>
              <w:t>18% SP</w:t>
            </w:r>
          </w:p>
        </w:tc>
        <w:tc>
          <w:tcPr>
            <w:tcW w:w="1701" w:type="dxa"/>
            <w:tcBorders>
              <w:top w:val="single" w:sz="8" w:space="0" w:color="000000"/>
              <w:left w:val="single" w:sz="4" w:space="0" w:color="000000"/>
              <w:bottom w:val="single" w:sz="4" w:space="0" w:color="auto"/>
              <w:right w:val="single" w:sz="4" w:space="0" w:color="000000"/>
            </w:tcBorders>
            <w:vAlign w:val="center"/>
          </w:tcPr>
          <w:p w14:paraId="2B053249" w14:textId="77777777" w:rsidR="00AA2867" w:rsidRPr="00B66F58" w:rsidRDefault="003C4E1D">
            <w:pPr>
              <w:jc w:val="center"/>
              <w:rPr>
                <w:rFonts w:eastAsia="Calibri"/>
                <w:color w:val="000000"/>
                <w:sz w:val="21"/>
                <w:szCs w:val="21"/>
              </w:rPr>
            </w:pPr>
            <w:r w:rsidRPr="00B66F58">
              <w:rPr>
                <w:rFonts w:eastAsia="Calibri"/>
                <w:b/>
                <w:color w:val="000000"/>
                <w:sz w:val="21"/>
                <w:szCs w:val="21"/>
              </w:rPr>
              <w:t>VALOR TOTAL ESTIMADO</w:t>
            </w:r>
          </w:p>
          <w:p w14:paraId="0166E334" w14:textId="77777777" w:rsidR="00AA2867" w:rsidRPr="00B66F58" w:rsidRDefault="003C4E1D">
            <w:pPr>
              <w:jc w:val="center"/>
              <w:rPr>
                <w:rFonts w:eastAsia="Calibri"/>
                <w:color w:val="000000"/>
                <w:sz w:val="21"/>
                <w:szCs w:val="21"/>
              </w:rPr>
            </w:pPr>
            <w:r w:rsidRPr="00B66F58">
              <w:rPr>
                <w:rFonts w:eastAsia="Calibri"/>
                <w:b/>
                <w:color w:val="000000"/>
                <w:sz w:val="21"/>
                <w:szCs w:val="21"/>
              </w:rPr>
              <w:t>TOTAL RS</w:t>
            </w:r>
          </w:p>
        </w:tc>
      </w:tr>
      <w:tr w:rsidR="00AA2867" w:rsidRPr="00B66F58" w14:paraId="63C9FBF3" w14:textId="77777777" w:rsidTr="00886AF0">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69B99C25" w14:textId="77777777" w:rsidR="00AA2867" w:rsidRPr="00B66F58" w:rsidRDefault="003C4E1D">
            <w:pPr>
              <w:jc w:val="center"/>
              <w:rPr>
                <w:rFonts w:eastAsia="Calibri"/>
                <w:sz w:val="21"/>
                <w:szCs w:val="21"/>
              </w:rPr>
            </w:pPr>
            <w:r w:rsidRPr="00B66F58">
              <w:rPr>
                <w:rFonts w:eastAsia="Calibri"/>
                <w:sz w:val="21"/>
                <w:szCs w:val="21"/>
              </w:rPr>
              <w:t>1</w:t>
            </w:r>
          </w:p>
        </w:tc>
        <w:tc>
          <w:tcPr>
            <w:tcW w:w="2764" w:type="dxa"/>
            <w:tcBorders>
              <w:top w:val="single" w:sz="4" w:space="0" w:color="auto"/>
              <w:left w:val="single" w:sz="4" w:space="0" w:color="auto"/>
              <w:bottom w:val="single" w:sz="4" w:space="0" w:color="auto"/>
              <w:right w:val="single" w:sz="4" w:space="0" w:color="auto"/>
            </w:tcBorders>
            <w:vAlign w:val="center"/>
          </w:tcPr>
          <w:p w14:paraId="10A82E6E" w14:textId="77777777" w:rsidR="00AA2867" w:rsidRPr="00B66F58" w:rsidRDefault="003C4E1D">
            <w:pPr>
              <w:jc w:val="center"/>
              <w:rPr>
                <w:color w:val="1F1F1F"/>
                <w:sz w:val="21"/>
                <w:szCs w:val="21"/>
                <w:highlight w:val="white"/>
              </w:rPr>
            </w:pPr>
            <w:r w:rsidRPr="00B66F58">
              <w:rPr>
                <w:color w:val="1F1F1F"/>
                <w:sz w:val="21"/>
                <w:szCs w:val="21"/>
                <w:highlight w:val="white"/>
              </w:rPr>
              <w:t>LENALIDOMIDA 25MG</w:t>
            </w:r>
          </w:p>
          <w:p w14:paraId="1F09F686" w14:textId="77777777" w:rsidR="00AA2867" w:rsidRPr="00B66F58" w:rsidRDefault="003C4E1D">
            <w:pPr>
              <w:jc w:val="center"/>
              <w:rPr>
                <w:color w:val="1F1F1F"/>
                <w:sz w:val="21"/>
                <w:szCs w:val="21"/>
                <w:highlight w:val="white"/>
              </w:rPr>
            </w:pPr>
            <w:r w:rsidRPr="00B66F58">
              <w:rPr>
                <w:color w:val="1F1F1F"/>
                <w:sz w:val="21"/>
                <w:szCs w:val="21"/>
                <w:highlight w:val="whit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C432DDF" w14:textId="77777777" w:rsidR="00AA2867" w:rsidRPr="00B66F58" w:rsidRDefault="003C4E1D">
            <w:pPr>
              <w:jc w:val="center"/>
              <w:rPr>
                <w:rFonts w:eastAsia="Calibri"/>
                <w:color w:val="000000"/>
                <w:sz w:val="21"/>
                <w:szCs w:val="21"/>
              </w:rPr>
            </w:pPr>
            <w:r w:rsidRPr="00B66F58">
              <w:rPr>
                <w:color w:val="1F1F1F"/>
                <w:sz w:val="21"/>
                <w:szCs w:val="21"/>
                <w:highlight w:val="white"/>
              </w:rPr>
              <w:t>CARTELA /BLISTER COM 21CAPSULAS</w:t>
            </w:r>
          </w:p>
        </w:tc>
        <w:tc>
          <w:tcPr>
            <w:tcW w:w="1064" w:type="dxa"/>
            <w:tcBorders>
              <w:top w:val="single" w:sz="4" w:space="0" w:color="auto"/>
              <w:left w:val="single" w:sz="4" w:space="0" w:color="auto"/>
              <w:bottom w:val="single" w:sz="4" w:space="0" w:color="auto"/>
              <w:right w:val="single" w:sz="4" w:space="0" w:color="auto"/>
            </w:tcBorders>
            <w:vAlign w:val="center"/>
          </w:tcPr>
          <w:p w14:paraId="1843B0E3" w14:textId="77777777" w:rsidR="00AA2867" w:rsidRPr="00B66F58" w:rsidRDefault="003C4E1D">
            <w:pPr>
              <w:jc w:val="center"/>
              <w:rPr>
                <w:rFonts w:eastAsia="Calibri"/>
                <w:color w:val="000000"/>
                <w:sz w:val="21"/>
                <w:szCs w:val="21"/>
              </w:rPr>
            </w:pPr>
            <w:r w:rsidRPr="00B66F58">
              <w:rPr>
                <w:rFonts w:eastAsia="Calibri"/>
                <w:color w:val="000000"/>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77E5A504" w14:textId="77777777" w:rsidR="00AA2867" w:rsidRPr="00B66F58" w:rsidRDefault="003C4E1D">
            <w:pPr>
              <w:jc w:val="center"/>
              <w:rPr>
                <w:rFonts w:eastAsia="Calibri"/>
                <w:color w:val="000000"/>
                <w:sz w:val="21"/>
                <w:szCs w:val="21"/>
              </w:rPr>
            </w:pPr>
            <w:r w:rsidRPr="00B66F58">
              <w:rPr>
                <w:rFonts w:eastAsia="Calibri"/>
                <w:color w:val="000000"/>
                <w:sz w:val="21"/>
                <w:szCs w:val="2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7F44" w14:textId="77777777" w:rsidR="00AA2867" w:rsidRPr="00B66F58" w:rsidRDefault="003C4E1D">
            <w:pPr>
              <w:jc w:val="center"/>
              <w:rPr>
                <w:rFonts w:eastAsia="Calibri"/>
                <w:sz w:val="21"/>
                <w:szCs w:val="21"/>
              </w:rPr>
            </w:pPr>
            <w:r w:rsidRPr="00B66F58">
              <w:rPr>
                <w:rFonts w:eastAsia="Calibri"/>
                <w:sz w:val="21"/>
                <w:szCs w:val="21"/>
              </w:rPr>
              <w:t>21.421,20</w:t>
            </w:r>
          </w:p>
        </w:tc>
        <w:tc>
          <w:tcPr>
            <w:tcW w:w="1701" w:type="dxa"/>
            <w:tcBorders>
              <w:top w:val="single" w:sz="4" w:space="0" w:color="auto"/>
              <w:left w:val="single" w:sz="4" w:space="0" w:color="auto"/>
              <w:bottom w:val="single" w:sz="4" w:space="0" w:color="auto"/>
              <w:right w:val="single" w:sz="4" w:space="0" w:color="auto"/>
            </w:tcBorders>
            <w:vAlign w:val="center"/>
          </w:tcPr>
          <w:p w14:paraId="3B373470" w14:textId="77777777" w:rsidR="00AA2867" w:rsidRPr="00B66F58" w:rsidRDefault="003C4E1D">
            <w:pPr>
              <w:rPr>
                <w:rFonts w:eastAsia="Calibri"/>
                <w:sz w:val="21"/>
                <w:szCs w:val="21"/>
              </w:rPr>
            </w:pPr>
            <w:r w:rsidRPr="00B66F58">
              <w:rPr>
                <w:rFonts w:eastAsia="Calibri"/>
                <w:sz w:val="21"/>
                <w:szCs w:val="21"/>
              </w:rPr>
              <w:t>R$ 257.054,40</w:t>
            </w:r>
          </w:p>
          <w:p w14:paraId="4FE37345" w14:textId="77777777" w:rsidR="00AA2867" w:rsidRPr="00B66F58" w:rsidRDefault="00AA2867">
            <w:pPr>
              <w:rPr>
                <w:rFonts w:eastAsia="Calibri"/>
                <w:sz w:val="21"/>
                <w:szCs w:val="21"/>
              </w:rPr>
            </w:pPr>
          </w:p>
        </w:tc>
      </w:tr>
      <w:tr w:rsidR="00AA2867" w:rsidRPr="00B66F58" w14:paraId="0C60D021" w14:textId="77777777" w:rsidTr="0088049B">
        <w:trPr>
          <w:trHeight w:val="404"/>
        </w:trPr>
        <w:tc>
          <w:tcPr>
            <w:tcW w:w="9923" w:type="dxa"/>
            <w:gridSpan w:val="7"/>
            <w:tcBorders>
              <w:top w:val="single" w:sz="4" w:space="0" w:color="auto"/>
              <w:left w:val="single" w:sz="4" w:space="0" w:color="auto"/>
              <w:bottom w:val="single" w:sz="4" w:space="0" w:color="auto"/>
              <w:right w:val="single" w:sz="4" w:space="0" w:color="auto"/>
            </w:tcBorders>
          </w:tcPr>
          <w:p w14:paraId="56D389F8" w14:textId="3F2FBA74" w:rsidR="00AA2867" w:rsidRPr="00B66F58" w:rsidRDefault="0088049B">
            <w:pPr>
              <w:jc w:val="both"/>
              <w:rPr>
                <w:rFonts w:eastAsia="Calibri"/>
                <w:color w:val="000000"/>
                <w:sz w:val="21"/>
                <w:szCs w:val="21"/>
              </w:rPr>
            </w:pPr>
            <w:r w:rsidRPr="00B66F58">
              <w:rPr>
                <w:rFonts w:eastAsia="Calibri"/>
                <w:color w:val="000000"/>
                <w:sz w:val="21"/>
                <w:szCs w:val="21"/>
              </w:rPr>
              <w:t xml:space="preserve">            VALOR TOTAL                                                                                                                                   </w:t>
            </w:r>
            <w:r w:rsidR="003C4E1D" w:rsidRPr="00B66F58">
              <w:rPr>
                <w:rFonts w:eastAsia="Calibri"/>
                <w:color w:val="000000"/>
                <w:sz w:val="21"/>
                <w:szCs w:val="21"/>
              </w:rPr>
              <w:t>R$ 810.957,72</w:t>
            </w:r>
          </w:p>
        </w:tc>
      </w:tr>
    </w:tbl>
    <w:p w14:paraId="791D3E14" w14:textId="77777777" w:rsidR="00AA2867" w:rsidRPr="00B66F58" w:rsidRDefault="00AA2867">
      <w:pPr>
        <w:spacing w:line="276" w:lineRule="auto"/>
        <w:ind w:firstLine="709"/>
        <w:jc w:val="both"/>
        <w:rPr>
          <w:sz w:val="21"/>
          <w:szCs w:val="21"/>
        </w:rPr>
      </w:pPr>
    </w:p>
    <w:p w14:paraId="25E42631" w14:textId="77777777" w:rsidR="00AA2867" w:rsidRPr="00B66F58" w:rsidRDefault="00AA2867" w:rsidP="0088049B">
      <w:pPr>
        <w:spacing w:line="276" w:lineRule="auto"/>
        <w:jc w:val="both"/>
        <w:rPr>
          <w:sz w:val="21"/>
          <w:szCs w:val="21"/>
        </w:rPr>
      </w:pPr>
      <w:bookmarkStart w:id="0" w:name="_gjdgxs" w:colFirst="0" w:colLast="0"/>
      <w:bookmarkEnd w:id="0"/>
    </w:p>
    <w:tbl>
      <w:tblPr>
        <w:tblStyle w:val="a0"/>
        <w:tblW w:w="8647" w:type="dxa"/>
        <w:tblInd w:w="142" w:type="dxa"/>
        <w:tblLayout w:type="fixed"/>
        <w:tblLook w:val="0000" w:firstRow="0" w:lastRow="0" w:firstColumn="0" w:lastColumn="0" w:noHBand="0" w:noVBand="0"/>
      </w:tblPr>
      <w:tblGrid>
        <w:gridCol w:w="709"/>
        <w:gridCol w:w="7938"/>
      </w:tblGrid>
      <w:tr w:rsidR="00AA2867" w:rsidRPr="00B66F58" w14:paraId="2A306A34" w14:textId="77777777">
        <w:trPr>
          <w:trHeight w:val="480"/>
        </w:trPr>
        <w:tc>
          <w:tcPr>
            <w:tcW w:w="709" w:type="dxa"/>
            <w:tcBorders>
              <w:top w:val="single" w:sz="8" w:space="0" w:color="000000"/>
              <w:left w:val="single" w:sz="8" w:space="0" w:color="000000"/>
              <w:bottom w:val="single" w:sz="8" w:space="0" w:color="000000"/>
              <w:right w:val="nil"/>
            </w:tcBorders>
            <w:vAlign w:val="center"/>
          </w:tcPr>
          <w:p w14:paraId="3C99DF0C" w14:textId="77777777" w:rsidR="00AA2867" w:rsidRPr="00B66F58" w:rsidRDefault="003C4E1D">
            <w:pPr>
              <w:jc w:val="center"/>
              <w:rPr>
                <w:rFonts w:eastAsia="Calibri"/>
                <w:color w:val="000000"/>
                <w:sz w:val="21"/>
                <w:szCs w:val="21"/>
              </w:rPr>
            </w:pPr>
            <w:r w:rsidRPr="00B66F58">
              <w:rPr>
                <w:rFonts w:eastAsia="Calibri"/>
                <w:b/>
                <w:sz w:val="21"/>
                <w:szCs w:val="21"/>
              </w:rPr>
              <w:t>ITEM</w:t>
            </w:r>
          </w:p>
        </w:tc>
        <w:tc>
          <w:tcPr>
            <w:tcW w:w="7938" w:type="dxa"/>
            <w:tcBorders>
              <w:top w:val="single" w:sz="8" w:space="0" w:color="000000"/>
              <w:left w:val="single" w:sz="4" w:space="0" w:color="000000"/>
              <w:bottom w:val="single" w:sz="8" w:space="0" w:color="000000"/>
              <w:right w:val="single" w:sz="4" w:space="0" w:color="000000"/>
            </w:tcBorders>
            <w:vAlign w:val="center"/>
          </w:tcPr>
          <w:p w14:paraId="760EA081" w14:textId="77777777" w:rsidR="00AA2867" w:rsidRPr="00B66F58" w:rsidRDefault="003C4E1D">
            <w:pPr>
              <w:jc w:val="center"/>
              <w:rPr>
                <w:rFonts w:eastAsia="Calibri"/>
                <w:color w:val="000000"/>
                <w:sz w:val="21"/>
                <w:szCs w:val="21"/>
              </w:rPr>
            </w:pPr>
            <w:r w:rsidRPr="00B66F58">
              <w:rPr>
                <w:rFonts w:eastAsia="Calibri"/>
                <w:b/>
                <w:color w:val="000000"/>
                <w:sz w:val="21"/>
                <w:szCs w:val="21"/>
              </w:rPr>
              <w:t>PROCESSO A SER ATENDIDOS</w:t>
            </w:r>
          </w:p>
        </w:tc>
      </w:tr>
      <w:tr w:rsidR="00AA2867" w:rsidRPr="00B66F58" w14:paraId="4BEB3350" w14:textId="77777777">
        <w:trPr>
          <w:trHeight w:val="300"/>
        </w:trPr>
        <w:tc>
          <w:tcPr>
            <w:tcW w:w="709" w:type="dxa"/>
            <w:tcBorders>
              <w:top w:val="nil"/>
              <w:left w:val="single" w:sz="8" w:space="0" w:color="000000"/>
              <w:bottom w:val="single" w:sz="4" w:space="0" w:color="000000"/>
              <w:right w:val="nil"/>
            </w:tcBorders>
            <w:vAlign w:val="center"/>
          </w:tcPr>
          <w:p w14:paraId="1E6711C1" w14:textId="77777777" w:rsidR="00AA2867" w:rsidRPr="00B66F58" w:rsidRDefault="003C4E1D">
            <w:pPr>
              <w:jc w:val="center"/>
              <w:rPr>
                <w:rFonts w:eastAsia="Calibri"/>
                <w:sz w:val="21"/>
                <w:szCs w:val="21"/>
              </w:rPr>
            </w:pPr>
            <w:r w:rsidRPr="00B66F58">
              <w:rPr>
                <w:rFonts w:eastAsia="Calibri"/>
                <w:sz w:val="21"/>
                <w:szCs w:val="21"/>
              </w:rPr>
              <w:t>1</w:t>
            </w:r>
          </w:p>
        </w:tc>
        <w:tc>
          <w:tcPr>
            <w:tcW w:w="7938" w:type="dxa"/>
            <w:tcBorders>
              <w:top w:val="nil"/>
              <w:left w:val="single" w:sz="4" w:space="0" w:color="000000"/>
              <w:bottom w:val="single" w:sz="4" w:space="0" w:color="000000"/>
              <w:right w:val="single" w:sz="4" w:space="0" w:color="000000"/>
            </w:tcBorders>
            <w:vAlign w:val="center"/>
          </w:tcPr>
          <w:p w14:paraId="7320C9D0" w14:textId="77777777" w:rsidR="00AA2867" w:rsidRPr="00B66F58" w:rsidRDefault="003C4E1D">
            <w:pPr>
              <w:spacing w:line="276" w:lineRule="auto"/>
              <w:jc w:val="both"/>
              <w:rPr>
                <w:sz w:val="21"/>
                <w:szCs w:val="21"/>
              </w:rPr>
            </w:pPr>
            <w:r w:rsidRPr="00B66F58">
              <w:rPr>
                <w:rFonts w:eastAsia="Arial"/>
                <w:sz w:val="21"/>
                <w:szCs w:val="21"/>
              </w:rPr>
              <w:t>1001308-69.2024.8.26.0210</w:t>
            </w:r>
            <w:r w:rsidRPr="00B66F58">
              <w:rPr>
                <w:sz w:val="21"/>
                <w:szCs w:val="21"/>
              </w:rPr>
              <w:t xml:space="preserve">. </w:t>
            </w:r>
          </w:p>
        </w:tc>
      </w:tr>
    </w:tbl>
    <w:p w14:paraId="191C5C8E" w14:textId="77777777" w:rsidR="00AA2867" w:rsidRPr="00B66F58" w:rsidRDefault="00AA2867">
      <w:pPr>
        <w:spacing w:line="276" w:lineRule="auto"/>
        <w:jc w:val="both"/>
        <w:rPr>
          <w:sz w:val="21"/>
          <w:szCs w:val="21"/>
        </w:rPr>
      </w:pPr>
    </w:p>
    <w:p w14:paraId="5D02B4F8" w14:textId="77777777" w:rsidR="0088049B" w:rsidRPr="00B66F58" w:rsidRDefault="0088049B">
      <w:pPr>
        <w:spacing w:line="276" w:lineRule="auto"/>
        <w:jc w:val="both"/>
        <w:rPr>
          <w:sz w:val="21"/>
          <w:szCs w:val="21"/>
        </w:rPr>
      </w:pPr>
    </w:p>
    <w:p w14:paraId="70177AEA" w14:textId="77777777" w:rsidR="00AA2867" w:rsidRPr="00B66F58" w:rsidRDefault="003C4E1D">
      <w:pPr>
        <w:numPr>
          <w:ilvl w:val="0"/>
          <w:numId w:val="2"/>
        </w:numPr>
        <w:spacing w:line="276" w:lineRule="auto"/>
        <w:jc w:val="both"/>
        <w:rPr>
          <w:sz w:val="21"/>
          <w:szCs w:val="21"/>
        </w:rPr>
      </w:pPr>
      <w:r w:rsidRPr="00B66F58">
        <w:rPr>
          <w:b/>
          <w:sz w:val="21"/>
          <w:szCs w:val="21"/>
        </w:rPr>
        <w:t>LEVANTAMENTO DE MERCADO</w:t>
      </w:r>
    </w:p>
    <w:p w14:paraId="4FD36036" w14:textId="77777777" w:rsidR="00AA2867" w:rsidRPr="00B66F58" w:rsidRDefault="00AA2867">
      <w:pPr>
        <w:spacing w:line="276" w:lineRule="auto"/>
        <w:ind w:left="360"/>
        <w:jc w:val="both"/>
        <w:rPr>
          <w:sz w:val="21"/>
          <w:szCs w:val="21"/>
        </w:rPr>
      </w:pPr>
    </w:p>
    <w:p w14:paraId="7B1EE589" w14:textId="65708233" w:rsidR="00AA2867" w:rsidRPr="00B66F58" w:rsidRDefault="003C4E1D">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Para o ite</w:t>
      </w:r>
      <w:r w:rsidR="0088049B" w:rsidRPr="00B66F58">
        <w:rPr>
          <w:color w:val="000000"/>
          <w:sz w:val="21"/>
          <w:szCs w:val="21"/>
        </w:rPr>
        <w:t>m</w:t>
      </w:r>
      <w:r w:rsidRPr="00B66F58">
        <w:rPr>
          <w:color w:val="000000"/>
          <w:sz w:val="21"/>
          <w:szCs w:val="21"/>
        </w:rPr>
        <w:t xml:space="preserve"> existe os laboratórios </w:t>
      </w:r>
      <w:r w:rsidR="00635031" w:rsidRPr="00B66F58">
        <w:rPr>
          <w:color w:val="000000"/>
          <w:sz w:val="21"/>
          <w:szCs w:val="21"/>
        </w:rPr>
        <w:t xml:space="preserve">que </w:t>
      </w:r>
      <w:r w:rsidRPr="00B66F58">
        <w:rPr>
          <w:color w:val="000000"/>
          <w:sz w:val="21"/>
          <w:szCs w:val="21"/>
        </w:rPr>
        <w:t xml:space="preserve">credenciam/habilitam distribuidores no mercado nacional, </w:t>
      </w:r>
    </w:p>
    <w:p w14:paraId="6B58A484" w14:textId="77777777" w:rsidR="00AA2867" w:rsidRPr="00B66F58" w:rsidRDefault="003C4E1D">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Não existe restrição legal para a aquisição desses produtos no mercado portanto possível a cotação com vários fornecedores,</w:t>
      </w:r>
    </w:p>
    <w:p w14:paraId="42AC3D96" w14:textId="77777777" w:rsidR="00AA2867" w:rsidRPr="00B66F58" w:rsidRDefault="003C4E1D">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 xml:space="preserve">A pesquisa de preço será realizada pelo Departamento de Compras por realização de consulta a fornecedores locais/regionais, por meio de consulta a correio eletrônico ou meio idôneo, bem como consulta no Banco de Preços em observância à Instrução Normativa SEGES/ME nº 65/2021, de 07 de julho de 2021, que dispõe sobre os processos administrativos para a realização de pesquisa de preços para a aquisição de bens e contratação de serviços em geral. </w:t>
      </w:r>
    </w:p>
    <w:p w14:paraId="64C3710B" w14:textId="6F9B7992" w:rsidR="00AA2867" w:rsidRPr="00B66F58" w:rsidRDefault="00B66F58" w:rsidP="00B66F58">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 xml:space="preserve"> </w:t>
      </w:r>
      <w:r w:rsidR="003C4E1D" w:rsidRPr="00B66F58">
        <w:rPr>
          <w:color w:val="000000"/>
          <w:sz w:val="21"/>
          <w:szCs w:val="21"/>
        </w:rPr>
        <w:t>No âmbito da administração pública federal, autarquia e fundacional estabelece em seu artigo 6º que “serão utilizados, como métodos para obtenção do preço estimado, a média, a mediana ou o menor dos valores obtidos na pesquisa de preços, desde que o cálculo incida sobre um conjunto de três ou mais preços”.</w:t>
      </w:r>
    </w:p>
    <w:p w14:paraId="38D48CC3" w14:textId="77777777" w:rsidR="00AA2867" w:rsidRPr="00B66F58" w:rsidRDefault="003C4E1D" w:rsidP="00B66F58">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O preço do mercado é mais bem representado pela média ou mediana, uma vez que constituem medidas de tendência central e, desse modo, representam de uma forma mais robusta os preços praticados no mercado, sendo que a média tende a refletir melhor o conjunto dos dados, pois seu valor computa todos os preços coletados. A utilização da mediana é aconselhável quando a pesquisa se apresenta de forma heterogênea, uma vez que, nesse caso, há influência dos extremos dos dados coletados. Já a média é indicada quando os preços estão dispostos de forma homogênea, sem a presença de valores extremos. Na quase totalidade das situações, não se deve estimar os preços de mercado a partir do menor valor. Estatisticamente, o menor valor não representa a tendência dos preços de mercado. Representa, apenas, o valor mais barato dentre os preços coletados. Este método somente é indicado quando estamos em um ambiente de competição oligopolista.</w:t>
      </w:r>
    </w:p>
    <w:p w14:paraId="4D28DF8B" w14:textId="77777777" w:rsidR="00AA2867" w:rsidRPr="00B66F58" w:rsidRDefault="003C4E1D" w:rsidP="00B66F58">
      <w:pPr>
        <w:numPr>
          <w:ilvl w:val="1"/>
          <w:numId w:val="14"/>
        </w:numPr>
        <w:pBdr>
          <w:top w:val="nil"/>
          <w:left w:val="nil"/>
          <w:bottom w:val="nil"/>
          <w:right w:val="nil"/>
          <w:between w:val="nil"/>
        </w:pBdr>
        <w:tabs>
          <w:tab w:val="left" w:pos="0"/>
        </w:tabs>
        <w:spacing w:line="276" w:lineRule="auto"/>
        <w:ind w:left="0" w:firstLine="0"/>
        <w:jc w:val="both"/>
        <w:rPr>
          <w:color w:val="000000"/>
          <w:sz w:val="21"/>
          <w:szCs w:val="21"/>
        </w:rPr>
      </w:pPr>
      <w:r w:rsidRPr="00B66F58">
        <w:rPr>
          <w:color w:val="000000"/>
          <w:sz w:val="21"/>
          <w:szCs w:val="21"/>
        </w:rPr>
        <w:t>Explicitamente declaramos que a contratação é viável, justificada pela necessidade e pela forma de contratação proposta.</w:t>
      </w:r>
    </w:p>
    <w:p w14:paraId="3414B502" w14:textId="77777777" w:rsidR="00AA2867" w:rsidRPr="00B66F58" w:rsidRDefault="00AA2867">
      <w:pPr>
        <w:spacing w:line="276" w:lineRule="auto"/>
        <w:jc w:val="both"/>
        <w:rPr>
          <w:sz w:val="21"/>
          <w:szCs w:val="21"/>
        </w:rPr>
      </w:pPr>
    </w:p>
    <w:p w14:paraId="1970DB94" w14:textId="77777777" w:rsidR="00AA2867" w:rsidRPr="00B66F58" w:rsidRDefault="003C4E1D" w:rsidP="00217FE5">
      <w:pPr>
        <w:numPr>
          <w:ilvl w:val="0"/>
          <w:numId w:val="14"/>
        </w:numPr>
        <w:shd w:val="clear" w:color="auto" w:fill="FFFFFF" w:themeFill="background1"/>
        <w:spacing w:line="276" w:lineRule="auto"/>
        <w:jc w:val="both"/>
        <w:rPr>
          <w:sz w:val="21"/>
          <w:szCs w:val="21"/>
        </w:rPr>
      </w:pPr>
      <w:r w:rsidRPr="00B66F58">
        <w:rPr>
          <w:b/>
          <w:sz w:val="21"/>
          <w:szCs w:val="21"/>
        </w:rPr>
        <w:t>ESTIMATIVA DO PREÇO DA CONTRATAÇÃO</w:t>
      </w:r>
    </w:p>
    <w:p w14:paraId="19A48C0B" w14:textId="77777777" w:rsidR="00AA2867" w:rsidRPr="00B66F58" w:rsidRDefault="00AA2867" w:rsidP="00217FE5">
      <w:pPr>
        <w:shd w:val="clear" w:color="auto" w:fill="FFFFFF" w:themeFill="background1"/>
        <w:spacing w:line="276" w:lineRule="auto"/>
        <w:ind w:left="360"/>
        <w:jc w:val="both"/>
        <w:rPr>
          <w:sz w:val="21"/>
          <w:szCs w:val="21"/>
        </w:rPr>
      </w:pPr>
    </w:p>
    <w:p w14:paraId="589D3C37" w14:textId="77777777" w:rsidR="00AA2867" w:rsidRPr="00B66F58" w:rsidRDefault="003C4E1D" w:rsidP="00217FE5">
      <w:pPr>
        <w:numPr>
          <w:ilvl w:val="1"/>
          <w:numId w:val="3"/>
        </w:numPr>
        <w:shd w:val="clear" w:color="auto" w:fill="FFFFFF" w:themeFill="background1"/>
        <w:spacing w:line="276" w:lineRule="auto"/>
        <w:ind w:left="0" w:firstLine="0"/>
        <w:jc w:val="both"/>
        <w:rPr>
          <w:color w:val="000000"/>
          <w:sz w:val="21"/>
          <w:szCs w:val="21"/>
        </w:rPr>
      </w:pPr>
      <w:r w:rsidRPr="00B66F58">
        <w:rPr>
          <w:color w:val="000000"/>
          <w:sz w:val="21"/>
          <w:szCs w:val="21"/>
          <w:shd w:val="clear" w:color="auto" w:fill="FFFFFF" w:themeFill="background1"/>
        </w:rPr>
        <w:t>A pesquisa de preço será realizada por meio de cotação em fornecedores e anexada aos autos</w:t>
      </w:r>
      <w:r w:rsidRPr="00B66F58">
        <w:rPr>
          <w:color w:val="000000"/>
          <w:sz w:val="21"/>
          <w:szCs w:val="21"/>
        </w:rPr>
        <w:t xml:space="preserve"> pelo setor competente. Foram considerados inicialmente os preços vigentes na CMED – CAMARA DE REGULAÇAO DO MERCADO DE MEDICAMENTOS, </w:t>
      </w:r>
      <w:proofErr w:type="gramStart"/>
      <w:r w:rsidRPr="00B66F58">
        <w:rPr>
          <w:color w:val="000000"/>
          <w:sz w:val="21"/>
          <w:szCs w:val="21"/>
        </w:rPr>
        <w:t xml:space="preserve">PUBLICADA,  </w:t>
      </w:r>
      <w:r w:rsidRPr="00B66F58">
        <w:rPr>
          <w:rFonts w:eastAsia="Calibri"/>
          <w:b/>
          <w:sz w:val="21"/>
          <w:szCs w:val="21"/>
        </w:rPr>
        <w:t>PMVG</w:t>
      </w:r>
      <w:proofErr w:type="gramEnd"/>
      <w:r w:rsidRPr="00B66F58">
        <w:rPr>
          <w:rFonts w:eastAsia="Calibri"/>
          <w:b/>
          <w:sz w:val="21"/>
          <w:szCs w:val="21"/>
        </w:rPr>
        <w:t>: teto de preço para compra dos medicamentos inseridos na lista de produtos sujeitos ao CAP (Resolução CTE-CMED Nº6, 27 de maio de 2021),</w:t>
      </w:r>
    </w:p>
    <w:p w14:paraId="231BE8FE" w14:textId="77777777" w:rsidR="00AA2867" w:rsidRPr="00B66F58" w:rsidRDefault="00AA2867" w:rsidP="00217FE5">
      <w:pPr>
        <w:shd w:val="clear" w:color="auto" w:fill="FFFFFF" w:themeFill="background1"/>
        <w:spacing w:line="276" w:lineRule="auto"/>
        <w:jc w:val="both"/>
        <w:rPr>
          <w:color w:val="000000"/>
          <w:sz w:val="21"/>
          <w:szCs w:val="21"/>
          <w:highlight w:val="yellow"/>
        </w:rPr>
      </w:pPr>
    </w:p>
    <w:p w14:paraId="3519184E" w14:textId="77777777" w:rsidR="00746957" w:rsidRPr="00B66F58" w:rsidRDefault="00746957">
      <w:pPr>
        <w:spacing w:line="276" w:lineRule="auto"/>
        <w:jc w:val="both"/>
        <w:rPr>
          <w:color w:val="000000"/>
          <w:sz w:val="21"/>
          <w:szCs w:val="21"/>
          <w:highlight w:val="yellow"/>
        </w:rPr>
      </w:pPr>
    </w:p>
    <w:p w14:paraId="79C8C178" w14:textId="105EA1A5" w:rsidR="00746957" w:rsidRPr="00B66F58" w:rsidRDefault="00B66F58" w:rsidP="00746957">
      <w:pPr>
        <w:spacing w:line="276" w:lineRule="auto"/>
        <w:jc w:val="both"/>
        <w:rPr>
          <w:rFonts w:eastAsia="Calibri"/>
          <w:i/>
          <w:color w:val="0000FF"/>
          <w:sz w:val="21"/>
          <w:szCs w:val="21"/>
          <w:u w:val="single"/>
        </w:rPr>
      </w:pPr>
      <w:hyperlink r:id="rId8" w:history="1">
        <w:r w:rsidR="00746957" w:rsidRPr="00B66F58">
          <w:rPr>
            <w:rStyle w:val="Hyperlink"/>
            <w:rFonts w:eastAsia="Calibri"/>
            <w:i/>
            <w:sz w:val="21"/>
            <w:szCs w:val="21"/>
          </w:rPr>
          <w:t>https://www.gov.br/anvisa/pt-br/assuntos/medicamentos/cmed/precos</w:t>
        </w:r>
      </w:hyperlink>
    </w:p>
    <w:p w14:paraId="43025A06" w14:textId="46C11ED6" w:rsidR="0088049B" w:rsidRPr="00B66F58" w:rsidRDefault="00F279AC" w:rsidP="00746957">
      <w:pPr>
        <w:spacing w:line="276" w:lineRule="auto"/>
        <w:jc w:val="both"/>
        <w:rPr>
          <w:rFonts w:eastAsia="Calibri"/>
          <w:sz w:val="21"/>
          <w:szCs w:val="21"/>
        </w:rPr>
      </w:pPr>
      <w:r w:rsidRPr="00B66F58">
        <w:rPr>
          <w:rFonts w:eastAsia="Calibri"/>
          <w:noProof/>
          <w:color w:val="1F497D"/>
          <w:sz w:val="21"/>
          <w:szCs w:val="21"/>
          <w:u w:val="single"/>
        </w:rPr>
        <mc:AlternateContent>
          <mc:Choice Requires="wpi">
            <w:drawing>
              <wp:anchor distT="0" distB="0" distL="114300" distR="114300" simplePos="0" relativeHeight="251659264" behindDoc="0" locked="0" layoutInCell="1" allowOverlap="1" wp14:anchorId="13334551" wp14:editId="09E2694A">
                <wp:simplePos x="0" y="0"/>
                <wp:positionH relativeFrom="column">
                  <wp:posOffset>7368195</wp:posOffset>
                </wp:positionH>
                <wp:positionV relativeFrom="paragraph">
                  <wp:posOffset>213575</wp:posOffset>
                </wp:positionV>
                <wp:extent cx="360" cy="360"/>
                <wp:effectExtent l="38100" t="38100" r="38100" b="38100"/>
                <wp:wrapNone/>
                <wp:docPr id="778256596" name="Tinta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53B79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 o:spid="_x0000_s1026" type="#_x0000_t75" style="position:absolute;margin-left:579.65pt;margin-top:16.3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NJ7nV7WAQAAnQQAABAAAAAA&#10;AAAAAAAAAAAA0wMAAGRycy9pbmsvaW5rMS54bWxQSwECLQAUAAYACAAAACEAwW040d4AAAALAQAA&#10;DwAAAAAAAAAAAAAAAADXBQAAZHJzL2Rvd25yZXYueG1sUEsBAi0AFAAGAAgAAAAhAHkYvJ2/AAAA&#10;IQEAABkAAAAAAAAAAAAAAAAA4gYAAGRycy9fcmVscy9lMm9Eb2MueG1sLnJlbHNQSwUGAAAAAAYA&#10;BgB4AQAA2AcAAAAA&#10;">
                <v:imagedata r:id="rId10" o:title=""/>
              </v:shape>
            </w:pict>
          </mc:Fallback>
        </mc:AlternateContent>
      </w:r>
      <w:r w:rsidRPr="00B66F58">
        <w:rPr>
          <w:rFonts w:eastAsia="Calibri"/>
          <w:noProof/>
          <w:color w:val="1F497D"/>
          <w:sz w:val="21"/>
          <w:szCs w:val="21"/>
          <w:u w:val="single"/>
        </w:rPr>
        <mc:AlternateContent>
          <mc:Choice Requires="wpi">
            <w:drawing>
              <wp:anchor distT="0" distB="0" distL="114300" distR="114300" simplePos="0" relativeHeight="251660288" behindDoc="0" locked="0" layoutInCell="1" allowOverlap="1" wp14:anchorId="4BA39C6A" wp14:editId="41628C87">
                <wp:simplePos x="0" y="0"/>
                <wp:positionH relativeFrom="column">
                  <wp:posOffset>4482435</wp:posOffset>
                </wp:positionH>
                <wp:positionV relativeFrom="paragraph">
                  <wp:posOffset>151390</wp:posOffset>
                </wp:positionV>
                <wp:extent cx="28800" cy="14760"/>
                <wp:effectExtent l="38100" t="38100" r="47625" b="42545"/>
                <wp:wrapNone/>
                <wp:docPr id="1498688732"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28800" cy="14760"/>
                      </w14:xfrm>
                    </w14:contentPart>
                  </a:graphicData>
                </a:graphic>
              </wp:anchor>
            </w:drawing>
          </mc:Choice>
          <mc:Fallback>
            <w:pict>
              <v:shape w14:anchorId="7C3CC2F4" id="Tinta 2" o:spid="_x0000_s1026" type="#_x0000_t75" style="position:absolute;margin-left:352.45pt;margin-top:11.4pt;width:3.25pt;height: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">
                <v:imagedata r:id="rId12" o:title=""/>
              </v:shape>
            </w:pict>
          </mc:Fallback>
        </mc:AlternateContent>
      </w:r>
    </w:p>
    <w:p w14:paraId="58AE0E27" w14:textId="77777777" w:rsidR="00B66F58" w:rsidRPr="00B66F58" w:rsidRDefault="00B66F58" w:rsidP="00B66F58">
      <w:pPr>
        <w:numPr>
          <w:ilvl w:val="1"/>
          <w:numId w:val="15"/>
        </w:numPr>
        <w:spacing w:line="276" w:lineRule="auto"/>
        <w:ind w:left="0" w:firstLine="0"/>
        <w:jc w:val="both"/>
        <w:rPr>
          <w:sz w:val="21"/>
          <w:szCs w:val="21"/>
        </w:rPr>
      </w:pPr>
      <w:bookmarkStart w:id="1" w:name="_30j0zll" w:colFirst="0" w:colLast="0"/>
      <w:bookmarkEnd w:id="1"/>
      <w:r w:rsidRPr="00B66F58">
        <w:rPr>
          <w:sz w:val="21"/>
          <w:szCs w:val="21"/>
        </w:rPr>
        <w:t>O custo estimado do medicamento foi levado</w:t>
      </w:r>
      <w:r w:rsidR="003C4E1D" w:rsidRPr="00B66F58">
        <w:rPr>
          <w:sz w:val="21"/>
          <w:szCs w:val="21"/>
        </w:rPr>
        <w:t xml:space="preserve"> em consideração o consumo estimado </w:t>
      </w:r>
      <w:r w:rsidR="003C4E1D" w:rsidRPr="00B66F58">
        <w:rPr>
          <w:rFonts w:eastAsia="Calibri"/>
          <w:sz w:val="21"/>
          <w:szCs w:val="21"/>
        </w:rPr>
        <w:t>de R$</w:t>
      </w:r>
      <w:r w:rsidRPr="00B66F58">
        <w:rPr>
          <w:rFonts w:eastAsia="Calibri"/>
          <w:sz w:val="21"/>
          <w:szCs w:val="21"/>
        </w:rPr>
        <w:t xml:space="preserve"> </w:t>
      </w:r>
      <w:r w:rsidR="003C4E1D" w:rsidRPr="00B66F58">
        <w:rPr>
          <w:rFonts w:eastAsia="Calibri"/>
          <w:sz w:val="21"/>
          <w:szCs w:val="21"/>
        </w:rPr>
        <w:t>257.</w:t>
      </w:r>
      <w:r w:rsidR="003C4E1D" w:rsidRPr="00B66F58">
        <w:rPr>
          <w:sz w:val="21"/>
          <w:szCs w:val="21"/>
        </w:rPr>
        <w:t>054,40</w:t>
      </w:r>
      <w:r w:rsidR="003C4E1D" w:rsidRPr="00B66F58">
        <w:rPr>
          <w:b/>
          <w:sz w:val="21"/>
          <w:szCs w:val="21"/>
        </w:rPr>
        <w:t xml:space="preserve"> (DUZENTOS E CINQUENTA E SETE MIL, CINQUENTA E QUATRO REAIS E </w:t>
      </w:r>
      <w:r w:rsidR="00955E9B" w:rsidRPr="00B66F58">
        <w:rPr>
          <w:b/>
          <w:sz w:val="21"/>
          <w:szCs w:val="21"/>
        </w:rPr>
        <w:t>QUARENTA CENTAVOS</w:t>
      </w:r>
      <w:r w:rsidR="003C4E1D" w:rsidRPr="00B66F58">
        <w:rPr>
          <w:b/>
          <w:sz w:val="21"/>
          <w:szCs w:val="21"/>
        </w:rPr>
        <w:t>)</w:t>
      </w:r>
      <w:r w:rsidRPr="00B66F58">
        <w:rPr>
          <w:b/>
          <w:sz w:val="21"/>
          <w:szCs w:val="21"/>
        </w:rPr>
        <w:t xml:space="preserve">, </w:t>
      </w:r>
      <w:r w:rsidRPr="00B66F58">
        <w:rPr>
          <w:sz w:val="21"/>
          <w:szCs w:val="21"/>
        </w:rPr>
        <w:t>adequado o cálculo às quantidades prevista para 12 (doze) meses.</w:t>
      </w:r>
    </w:p>
    <w:p w14:paraId="6394AA02" w14:textId="77777777" w:rsidR="00B66F58" w:rsidRPr="00B66F58" w:rsidRDefault="00B66F58" w:rsidP="00B66F58">
      <w:pPr>
        <w:spacing w:line="276" w:lineRule="auto"/>
        <w:jc w:val="both"/>
        <w:rPr>
          <w:sz w:val="21"/>
          <w:szCs w:val="21"/>
        </w:rPr>
      </w:pPr>
    </w:p>
    <w:p w14:paraId="3F41E707" w14:textId="1F4FF026" w:rsidR="00AA2867" w:rsidRPr="00B66F58" w:rsidRDefault="003C4E1D" w:rsidP="00B66F58">
      <w:pPr>
        <w:pStyle w:val="PargrafodaLista"/>
        <w:numPr>
          <w:ilvl w:val="0"/>
          <w:numId w:val="16"/>
        </w:numPr>
        <w:spacing w:line="276" w:lineRule="auto"/>
        <w:jc w:val="both"/>
        <w:rPr>
          <w:sz w:val="21"/>
          <w:szCs w:val="21"/>
        </w:rPr>
      </w:pPr>
      <w:r w:rsidRPr="00B66F58">
        <w:rPr>
          <w:b/>
          <w:sz w:val="21"/>
          <w:szCs w:val="21"/>
        </w:rPr>
        <w:t>DESCRIÇÃO DA SOLUÇÃO COMO UM TODO</w:t>
      </w:r>
    </w:p>
    <w:p w14:paraId="5E48BAD4" w14:textId="77777777" w:rsidR="00AA2867" w:rsidRPr="00B66F58" w:rsidRDefault="00AA2867">
      <w:pPr>
        <w:spacing w:line="276" w:lineRule="auto"/>
        <w:ind w:left="360"/>
        <w:jc w:val="both"/>
        <w:rPr>
          <w:sz w:val="21"/>
          <w:szCs w:val="21"/>
        </w:rPr>
      </w:pPr>
    </w:p>
    <w:p w14:paraId="471F13AE" w14:textId="63654D83" w:rsidR="00B66F58" w:rsidRPr="00B66F58" w:rsidRDefault="003C4E1D" w:rsidP="00B66F58">
      <w:pPr>
        <w:numPr>
          <w:ilvl w:val="1"/>
          <w:numId w:val="8"/>
        </w:numPr>
        <w:spacing w:line="276" w:lineRule="auto"/>
        <w:ind w:left="0" w:firstLine="0"/>
        <w:jc w:val="both"/>
        <w:rPr>
          <w:sz w:val="21"/>
          <w:szCs w:val="21"/>
        </w:rPr>
      </w:pPr>
      <w:r w:rsidRPr="00B66F58">
        <w:rPr>
          <w:sz w:val="21"/>
          <w:szCs w:val="21"/>
        </w:rPr>
        <w:t>Os itens constantes no presente estudo visão atender orde</w:t>
      </w:r>
      <w:r w:rsidR="00886AF0" w:rsidRPr="00B66F58">
        <w:rPr>
          <w:sz w:val="21"/>
          <w:szCs w:val="21"/>
        </w:rPr>
        <w:t>m</w:t>
      </w:r>
      <w:r w:rsidRPr="00B66F58">
        <w:rPr>
          <w:sz w:val="21"/>
          <w:szCs w:val="21"/>
        </w:rPr>
        <w:t xml:space="preserve"> judicia</w:t>
      </w:r>
      <w:r w:rsidR="00886AF0" w:rsidRPr="00B66F58">
        <w:rPr>
          <w:sz w:val="21"/>
          <w:szCs w:val="21"/>
        </w:rPr>
        <w:t>l</w:t>
      </w:r>
      <w:r w:rsidRPr="00B66F58">
        <w:rPr>
          <w:sz w:val="21"/>
          <w:szCs w:val="21"/>
        </w:rPr>
        <w:t xml:space="preserve">, </w:t>
      </w:r>
      <w:r w:rsidR="0072143C" w:rsidRPr="00B66F58">
        <w:rPr>
          <w:sz w:val="21"/>
          <w:szCs w:val="21"/>
        </w:rPr>
        <w:t>é</w:t>
      </w:r>
      <w:r w:rsidRPr="00B66F58">
        <w:rPr>
          <w:sz w:val="21"/>
          <w:szCs w:val="21"/>
        </w:rPr>
        <w:t xml:space="preserve"> ite</w:t>
      </w:r>
      <w:r w:rsidR="0072143C" w:rsidRPr="00B66F58">
        <w:rPr>
          <w:sz w:val="21"/>
          <w:szCs w:val="21"/>
        </w:rPr>
        <w:t>m</w:t>
      </w:r>
      <w:r w:rsidRPr="00B66F58">
        <w:rPr>
          <w:sz w:val="21"/>
          <w:szCs w:val="21"/>
        </w:rPr>
        <w:t xml:space="preserve"> com decisão onde consta a indicação, porém há vários distribuidores o que permite uma concorrência. Por se tratarem de ite</w:t>
      </w:r>
      <w:r w:rsidR="00886AF0" w:rsidRPr="00B66F58">
        <w:rPr>
          <w:sz w:val="21"/>
          <w:szCs w:val="21"/>
        </w:rPr>
        <w:t>m</w:t>
      </w:r>
      <w:r w:rsidRPr="00B66F58">
        <w:rPr>
          <w:sz w:val="21"/>
          <w:szCs w:val="21"/>
        </w:rPr>
        <w:t xml:space="preserve"> que têm que </w:t>
      </w:r>
      <w:r w:rsidR="00886AF0" w:rsidRPr="00B66F58">
        <w:rPr>
          <w:sz w:val="21"/>
          <w:szCs w:val="21"/>
        </w:rPr>
        <w:t>ser</w:t>
      </w:r>
      <w:r w:rsidRPr="00B66F58">
        <w:rPr>
          <w:sz w:val="21"/>
          <w:szCs w:val="21"/>
        </w:rPr>
        <w:t xml:space="preserve"> adquirido, para atender o processo </w:t>
      </w:r>
      <w:r w:rsidR="0072143C" w:rsidRPr="00B66F58">
        <w:rPr>
          <w:sz w:val="21"/>
          <w:szCs w:val="21"/>
        </w:rPr>
        <w:t xml:space="preserve">supracitado </w:t>
      </w:r>
      <w:r w:rsidRPr="00B66F58">
        <w:rPr>
          <w:sz w:val="21"/>
          <w:szCs w:val="21"/>
        </w:rPr>
        <w:t>e o fato de ser o único paciente com essa indicação no momento, considerando se tratar de um medicamento oncológico onde eventualmente o requerente pode não ter uma aceitação, possivelmente a solução mais cabível para a contratação seria o Registro de Preços originário de Pregão Eletrônico, dado as características do objeto (enquadram-se na classificação de bens e serviços comuns, nos termos da Lei nº 14.133 de 2021), considerando a ampla concorrência e o fornecimento do ite</w:t>
      </w:r>
      <w:r w:rsidR="0072143C" w:rsidRPr="00B66F58">
        <w:rPr>
          <w:sz w:val="21"/>
          <w:szCs w:val="21"/>
        </w:rPr>
        <w:t>m</w:t>
      </w:r>
      <w:r w:rsidRPr="00B66F58">
        <w:rPr>
          <w:sz w:val="21"/>
          <w:szCs w:val="21"/>
        </w:rPr>
        <w:t xml:space="preserve"> de forma parcelada, conforme necessidade do Município. Ressaltamos que o regime proposto tem como principal benefício a adequação de quantidades a serem empenhadas, podendo dessa forma, fazer uma melhor avaliação do período a ser compreendido, visando a otimização dos recursos do erário. Outra vantagem deste regime é a fixação dos preços pelo período de 1 (um) ano, ficando a Ata de Registro de Preços à disposição da Administração Pública para, quando e se necessário, efetuar a contratação. </w:t>
      </w:r>
    </w:p>
    <w:p w14:paraId="18E9CBBB" w14:textId="77777777" w:rsidR="00AA2867" w:rsidRPr="00B66F58" w:rsidRDefault="003C4E1D">
      <w:pPr>
        <w:spacing w:line="276" w:lineRule="auto"/>
        <w:jc w:val="both"/>
        <w:rPr>
          <w:sz w:val="21"/>
          <w:szCs w:val="21"/>
        </w:rPr>
      </w:pPr>
      <w:r w:rsidRPr="00B66F58">
        <w:rPr>
          <w:sz w:val="21"/>
          <w:szCs w:val="21"/>
        </w:rPr>
        <w:t>Com isso, após realizado o processo licitatório, as contratadas deverão efetivar o fornecimento dos produtos conforme prazo de entrega definido no Termo de Referência, e emissão de nota de empenho seguindo criteriosamente as descrições determinadas em tal termo.</w:t>
      </w:r>
    </w:p>
    <w:p w14:paraId="5C39957B" w14:textId="77777777" w:rsidR="00AA2867" w:rsidRPr="00B66F58" w:rsidRDefault="00AA2867">
      <w:pPr>
        <w:spacing w:line="276" w:lineRule="auto"/>
        <w:jc w:val="both"/>
        <w:rPr>
          <w:sz w:val="21"/>
          <w:szCs w:val="21"/>
        </w:rPr>
      </w:pPr>
    </w:p>
    <w:p w14:paraId="282873A4" w14:textId="40DAF1C3" w:rsidR="00AA2867" w:rsidRPr="00B66F58" w:rsidRDefault="003C4E1D" w:rsidP="00B66F58">
      <w:pPr>
        <w:pStyle w:val="PargrafodaLista"/>
        <w:numPr>
          <w:ilvl w:val="0"/>
          <w:numId w:val="16"/>
        </w:numPr>
        <w:spacing w:line="276" w:lineRule="auto"/>
        <w:jc w:val="both"/>
        <w:rPr>
          <w:sz w:val="21"/>
          <w:szCs w:val="21"/>
        </w:rPr>
      </w:pPr>
      <w:r w:rsidRPr="00B66F58">
        <w:rPr>
          <w:b/>
          <w:sz w:val="21"/>
          <w:szCs w:val="21"/>
        </w:rPr>
        <w:t>JUSTIFICATIVA PARA PARCELAMENTO</w:t>
      </w:r>
    </w:p>
    <w:p w14:paraId="32E919E5" w14:textId="77777777" w:rsidR="00AA2867" w:rsidRPr="00B66F58" w:rsidRDefault="00AA2867">
      <w:pPr>
        <w:spacing w:line="276" w:lineRule="auto"/>
        <w:ind w:left="360"/>
        <w:jc w:val="both"/>
        <w:rPr>
          <w:sz w:val="21"/>
          <w:szCs w:val="21"/>
        </w:rPr>
      </w:pPr>
    </w:p>
    <w:p w14:paraId="33932C53" w14:textId="7393ACBC" w:rsidR="00AA2867" w:rsidRPr="00B66F58" w:rsidRDefault="003C4E1D">
      <w:pPr>
        <w:numPr>
          <w:ilvl w:val="1"/>
          <w:numId w:val="11"/>
        </w:numPr>
        <w:spacing w:line="276" w:lineRule="auto"/>
        <w:ind w:left="0" w:firstLine="0"/>
        <w:jc w:val="both"/>
        <w:rPr>
          <w:sz w:val="21"/>
          <w:szCs w:val="21"/>
        </w:rPr>
      </w:pPr>
      <w:r w:rsidRPr="00B66F58">
        <w:rPr>
          <w:sz w:val="21"/>
          <w:szCs w:val="21"/>
        </w:rPr>
        <w:t>O objetivo do parcelamento é o de melhor aproveitar os recursos disponíveis no mercado e ampliar a competitividade, sendo que este parcelamento é tecnicamente e economicamente viável, além da questão de espaço físico para estocar, o uso especifico do medicamento com custo elevado, permitindo a contratação de acordo com a necessidade do paciente</w:t>
      </w:r>
      <w:r w:rsidR="0072143C" w:rsidRPr="00B66F58">
        <w:rPr>
          <w:sz w:val="21"/>
          <w:szCs w:val="21"/>
        </w:rPr>
        <w:t>.</w:t>
      </w:r>
    </w:p>
    <w:p w14:paraId="30184698" w14:textId="77777777" w:rsidR="00AA2867" w:rsidRPr="00B66F58" w:rsidRDefault="00AA2867">
      <w:pPr>
        <w:spacing w:line="276" w:lineRule="auto"/>
        <w:jc w:val="both"/>
        <w:rPr>
          <w:sz w:val="21"/>
          <w:szCs w:val="21"/>
        </w:rPr>
      </w:pPr>
    </w:p>
    <w:p w14:paraId="24B4B06E" w14:textId="0D1F63B5" w:rsidR="00B66F58" w:rsidRPr="00B66F58" w:rsidRDefault="003C4E1D" w:rsidP="00B66F58">
      <w:pPr>
        <w:numPr>
          <w:ilvl w:val="0"/>
          <w:numId w:val="16"/>
        </w:numPr>
        <w:spacing w:line="276" w:lineRule="auto"/>
        <w:jc w:val="both"/>
        <w:rPr>
          <w:sz w:val="21"/>
          <w:szCs w:val="21"/>
        </w:rPr>
      </w:pPr>
      <w:r w:rsidRPr="00B66F58">
        <w:rPr>
          <w:b/>
          <w:sz w:val="21"/>
          <w:szCs w:val="21"/>
        </w:rPr>
        <w:t>DEMONSTRATIVO DOS RESULTADOS PRETENDIDOS</w:t>
      </w:r>
    </w:p>
    <w:p w14:paraId="2545566E" w14:textId="77777777" w:rsidR="00AA2867" w:rsidRPr="00B66F58" w:rsidRDefault="00AA2867">
      <w:pPr>
        <w:spacing w:line="276" w:lineRule="auto"/>
        <w:ind w:left="360"/>
        <w:jc w:val="both"/>
        <w:rPr>
          <w:sz w:val="21"/>
          <w:szCs w:val="21"/>
        </w:rPr>
      </w:pPr>
    </w:p>
    <w:p w14:paraId="70118B2E" w14:textId="0840D8FF" w:rsidR="00AA2867" w:rsidRPr="00B66F58" w:rsidRDefault="00B66F58">
      <w:pPr>
        <w:rPr>
          <w:sz w:val="21"/>
          <w:szCs w:val="21"/>
        </w:rPr>
      </w:pPr>
      <w:r w:rsidRPr="00B66F58">
        <w:rPr>
          <w:b/>
          <w:bCs/>
          <w:sz w:val="21"/>
          <w:szCs w:val="21"/>
        </w:rPr>
        <w:t>9.1</w:t>
      </w:r>
      <w:r>
        <w:rPr>
          <w:sz w:val="21"/>
          <w:szCs w:val="21"/>
        </w:rPr>
        <w:t xml:space="preserve">.  </w:t>
      </w:r>
      <w:r w:rsidR="003C4E1D" w:rsidRPr="00B66F58">
        <w:rPr>
          <w:sz w:val="21"/>
          <w:szCs w:val="21"/>
        </w:rPr>
        <w:t>Pretende-se contratar os itens descritos neste Estudo pelo menor preço, até o limite de preço unitário máximo estimado, com a qualidade, especificações e exigências descritas no Termo de Referência, com vista a garantir a não interrupção do fornecimento dos produtos para os pacientes oriundos de decisões judiciais e que são imprescindíveis para o atendimento às demandas. Portanto, os resultados pretendidos com essa aquisição são:</w:t>
      </w:r>
    </w:p>
    <w:p w14:paraId="6C156004" w14:textId="3E9D9701" w:rsidR="00AA2867" w:rsidRPr="00B66F58" w:rsidRDefault="003C4E1D">
      <w:pPr>
        <w:spacing w:line="276" w:lineRule="auto"/>
        <w:jc w:val="both"/>
        <w:rPr>
          <w:sz w:val="21"/>
          <w:szCs w:val="21"/>
        </w:rPr>
      </w:pPr>
      <w:r w:rsidRPr="00B66F58">
        <w:rPr>
          <w:sz w:val="21"/>
          <w:szCs w:val="21"/>
        </w:rPr>
        <w:t xml:space="preserve">- </w:t>
      </w:r>
      <w:proofErr w:type="gramStart"/>
      <w:r w:rsidRPr="00B66F58">
        <w:rPr>
          <w:sz w:val="21"/>
          <w:szCs w:val="21"/>
        </w:rPr>
        <w:t>quanto</w:t>
      </w:r>
      <w:proofErr w:type="gramEnd"/>
      <w:r w:rsidRPr="00B66F58">
        <w:rPr>
          <w:sz w:val="21"/>
          <w:szCs w:val="21"/>
        </w:rPr>
        <w:t xml:space="preserve"> à eficácia: atendimento de todas as demandas judiciais cadastradas até o momento </w:t>
      </w:r>
      <w:r w:rsidR="00A92B56" w:rsidRPr="00B66F58">
        <w:rPr>
          <w:sz w:val="21"/>
          <w:szCs w:val="21"/>
        </w:rPr>
        <w:t>no Município</w:t>
      </w:r>
      <w:r w:rsidRPr="00B66F58">
        <w:rPr>
          <w:sz w:val="21"/>
          <w:szCs w:val="21"/>
        </w:rPr>
        <w:t>;</w:t>
      </w:r>
    </w:p>
    <w:p w14:paraId="0B11607C" w14:textId="77777777" w:rsidR="00AA2867" w:rsidRPr="00B66F58" w:rsidRDefault="003C4E1D">
      <w:pPr>
        <w:spacing w:line="276" w:lineRule="auto"/>
        <w:jc w:val="both"/>
        <w:rPr>
          <w:sz w:val="21"/>
          <w:szCs w:val="21"/>
        </w:rPr>
      </w:pPr>
      <w:r w:rsidRPr="00B66F58">
        <w:rPr>
          <w:sz w:val="21"/>
          <w:szCs w:val="21"/>
        </w:rPr>
        <w:t xml:space="preserve">- </w:t>
      </w:r>
      <w:proofErr w:type="gramStart"/>
      <w:r w:rsidRPr="00B66F58">
        <w:rPr>
          <w:sz w:val="21"/>
          <w:szCs w:val="21"/>
        </w:rPr>
        <w:t>quando</w:t>
      </w:r>
      <w:proofErr w:type="gramEnd"/>
      <w:r w:rsidRPr="00B66F58">
        <w:rPr>
          <w:sz w:val="21"/>
          <w:szCs w:val="21"/>
        </w:rPr>
        <w:t xml:space="preserve"> à eficiência: assegurar a continuidade e manutenção dos atendimentos, de maneira a evitar sanções por descumprimento das decisões judiciais.</w:t>
      </w:r>
    </w:p>
    <w:p w14:paraId="34AF1F3C" w14:textId="77777777" w:rsidR="00AA2867" w:rsidRPr="00B66F58" w:rsidRDefault="00AA2867">
      <w:pPr>
        <w:spacing w:line="276" w:lineRule="auto"/>
        <w:jc w:val="both"/>
        <w:rPr>
          <w:sz w:val="21"/>
          <w:szCs w:val="21"/>
        </w:rPr>
      </w:pPr>
    </w:p>
    <w:p w14:paraId="3D4DFE63" w14:textId="77777777" w:rsidR="00AA2867" w:rsidRPr="00B66F58" w:rsidRDefault="003C4E1D" w:rsidP="00B66F58">
      <w:pPr>
        <w:numPr>
          <w:ilvl w:val="0"/>
          <w:numId w:val="16"/>
        </w:numPr>
        <w:spacing w:line="276" w:lineRule="auto"/>
        <w:jc w:val="both"/>
        <w:rPr>
          <w:sz w:val="21"/>
          <w:szCs w:val="21"/>
        </w:rPr>
      </w:pPr>
      <w:r w:rsidRPr="00B66F58">
        <w:rPr>
          <w:b/>
          <w:sz w:val="21"/>
          <w:szCs w:val="21"/>
        </w:rPr>
        <w:t>PROVIDÊNCIAS PRÉVIAS AO CONTRATO</w:t>
      </w:r>
    </w:p>
    <w:p w14:paraId="742501A4" w14:textId="77777777" w:rsidR="00AA2867" w:rsidRPr="00B66F58" w:rsidRDefault="00AA2867">
      <w:pPr>
        <w:spacing w:line="276" w:lineRule="auto"/>
        <w:ind w:left="360"/>
        <w:jc w:val="both"/>
        <w:rPr>
          <w:sz w:val="21"/>
          <w:szCs w:val="21"/>
        </w:rPr>
      </w:pPr>
    </w:p>
    <w:p w14:paraId="4ABCDD13" w14:textId="77777777" w:rsidR="00AA2867" w:rsidRPr="00B66F58" w:rsidRDefault="003C4E1D">
      <w:pPr>
        <w:numPr>
          <w:ilvl w:val="1"/>
          <w:numId w:val="5"/>
        </w:numPr>
        <w:spacing w:line="276" w:lineRule="auto"/>
        <w:ind w:left="0" w:firstLine="0"/>
        <w:jc w:val="both"/>
        <w:rPr>
          <w:sz w:val="21"/>
          <w:szCs w:val="21"/>
        </w:rPr>
      </w:pPr>
      <w:r w:rsidRPr="00B66F58">
        <w:rPr>
          <w:sz w:val="21"/>
          <w:szCs w:val="21"/>
        </w:rPr>
        <w:t>Não haverá necessidade de providências imediatas a serem adotadas pela administração, pois já existe local adequado e pessoal capacitado para realização dos processos administrativos.</w:t>
      </w:r>
    </w:p>
    <w:p w14:paraId="4A79FC57" w14:textId="77777777" w:rsidR="00AA2867" w:rsidRPr="00B66F58" w:rsidRDefault="00AA2867">
      <w:pPr>
        <w:spacing w:line="276" w:lineRule="auto"/>
        <w:jc w:val="both"/>
        <w:rPr>
          <w:sz w:val="21"/>
          <w:szCs w:val="21"/>
        </w:rPr>
      </w:pPr>
    </w:p>
    <w:p w14:paraId="44D278A9" w14:textId="77777777" w:rsidR="00AA2867" w:rsidRPr="00B66F58" w:rsidRDefault="003C4E1D" w:rsidP="00B66F58">
      <w:pPr>
        <w:numPr>
          <w:ilvl w:val="0"/>
          <w:numId w:val="16"/>
        </w:numPr>
        <w:spacing w:line="276" w:lineRule="auto"/>
        <w:jc w:val="both"/>
        <w:rPr>
          <w:sz w:val="21"/>
          <w:szCs w:val="21"/>
        </w:rPr>
      </w:pPr>
      <w:r w:rsidRPr="00B66F58">
        <w:rPr>
          <w:b/>
          <w:sz w:val="21"/>
          <w:szCs w:val="21"/>
        </w:rPr>
        <w:t>CONTRATAÇÕES CORRELATAS/INTERDEPENDENTES</w:t>
      </w:r>
    </w:p>
    <w:p w14:paraId="596BCA2D" w14:textId="77777777" w:rsidR="00AA2867" w:rsidRPr="00B66F58" w:rsidRDefault="00AA2867">
      <w:pPr>
        <w:spacing w:line="276" w:lineRule="auto"/>
        <w:ind w:left="360"/>
        <w:jc w:val="both"/>
        <w:rPr>
          <w:sz w:val="21"/>
          <w:szCs w:val="21"/>
        </w:rPr>
      </w:pPr>
    </w:p>
    <w:p w14:paraId="173817F0" w14:textId="77777777" w:rsidR="00AA2867" w:rsidRPr="00B66F58" w:rsidRDefault="003C4E1D">
      <w:pPr>
        <w:numPr>
          <w:ilvl w:val="1"/>
          <w:numId w:val="7"/>
        </w:numPr>
        <w:spacing w:line="276" w:lineRule="auto"/>
        <w:ind w:left="0" w:firstLine="0"/>
        <w:jc w:val="both"/>
        <w:rPr>
          <w:sz w:val="21"/>
          <w:szCs w:val="21"/>
        </w:rPr>
      </w:pPr>
      <w:r w:rsidRPr="00B66F58">
        <w:rPr>
          <w:sz w:val="21"/>
          <w:szCs w:val="21"/>
        </w:rPr>
        <w:t>Não se faz necessária a realização de contratações correlatas e/ou interdependentes para que o objetivo desta contratação seja atingido.</w:t>
      </w:r>
    </w:p>
    <w:p w14:paraId="5DFB01C4" w14:textId="77777777" w:rsidR="00AA2867" w:rsidRPr="00B66F58" w:rsidRDefault="00AA2867">
      <w:pPr>
        <w:spacing w:line="276" w:lineRule="auto"/>
        <w:jc w:val="both"/>
        <w:rPr>
          <w:sz w:val="21"/>
          <w:szCs w:val="21"/>
        </w:rPr>
      </w:pPr>
    </w:p>
    <w:p w14:paraId="017FA329" w14:textId="77777777" w:rsidR="00AA2867" w:rsidRPr="00B66F58" w:rsidRDefault="003C4E1D" w:rsidP="00B66F58">
      <w:pPr>
        <w:numPr>
          <w:ilvl w:val="0"/>
          <w:numId w:val="16"/>
        </w:numPr>
        <w:spacing w:line="276" w:lineRule="auto"/>
        <w:jc w:val="both"/>
        <w:rPr>
          <w:sz w:val="21"/>
          <w:szCs w:val="21"/>
        </w:rPr>
      </w:pPr>
      <w:r w:rsidRPr="00B66F58">
        <w:rPr>
          <w:b/>
          <w:sz w:val="21"/>
          <w:szCs w:val="21"/>
        </w:rPr>
        <w:t>IMPACTOS AMBIENTAIS</w:t>
      </w:r>
    </w:p>
    <w:p w14:paraId="18A2FF0A" w14:textId="77777777" w:rsidR="00AA2867" w:rsidRPr="00B66F58" w:rsidRDefault="00AA2867">
      <w:pPr>
        <w:spacing w:line="276" w:lineRule="auto"/>
        <w:ind w:left="360"/>
        <w:jc w:val="both"/>
        <w:rPr>
          <w:sz w:val="21"/>
          <w:szCs w:val="21"/>
        </w:rPr>
      </w:pPr>
    </w:p>
    <w:p w14:paraId="401EDD61" w14:textId="77777777" w:rsidR="00AA2867" w:rsidRPr="00B66F58" w:rsidRDefault="003C4E1D">
      <w:pPr>
        <w:numPr>
          <w:ilvl w:val="1"/>
          <w:numId w:val="1"/>
        </w:numPr>
        <w:spacing w:line="276" w:lineRule="auto"/>
        <w:jc w:val="both"/>
        <w:rPr>
          <w:sz w:val="21"/>
          <w:szCs w:val="21"/>
        </w:rPr>
      </w:pPr>
      <w:r w:rsidRPr="00B66F58">
        <w:rPr>
          <w:sz w:val="21"/>
          <w:szCs w:val="21"/>
        </w:rPr>
        <w:t xml:space="preserve">   Não foi identificado nenhum impacto.</w:t>
      </w:r>
    </w:p>
    <w:p w14:paraId="7B1FA0CC" w14:textId="77777777" w:rsidR="00AA2867" w:rsidRPr="00B66F58" w:rsidRDefault="00AA2867">
      <w:pPr>
        <w:spacing w:line="276" w:lineRule="auto"/>
        <w:jc w:val="both"/>
        <w:rPr>
          <w:sz w:val="21"/>
          <w:szCs w:val="21"/>
        </w:rPr>
      </w:pPr>
    </w:p>
    <w:p w14:paraId="0768B071" w14:textId="77777777" w:rsidR="00AA2867" w:rsidRPr="00B66F58" w:rsidRDefault="003C4E1D" w:rsidP="00B66F58">
      <w:pPr>
        <w:numPr>
          <w:ilvl w:val="0"/>
          <w:numId w:val="16"/>
        </w:numPr>
        <w:spacing w:line="276" w:lineRule="auto"/>
        <w:jc w:val="both"/>
        <w:rPr>
          <w:sz w:val="21"/>
          <w:szCs w:val="21"/>
        </w:rPr>
      </w:pPr>
      <w:r w:rsidRPr="00B66F58">
        <w:rPr>
          <w:b/>
          <w:sz w:val="21"/>
          <w:szCs w:val="21"/>
        </w:rPr>
        <w:t>VIABILIDADE DA CONTRATAÇÃO</w:t>
      </w:r>
    </w:p>
    <w:p w14:paraId="56459C1E" w14:textId="77777777" w:rsidR="00AA2867" w:rsidRPr="00B66F58" w:rsidRDefault="00AA2867">
      <w:pPr>
        <w:spacing w:line="276" w:lineRule="auto"/>
        <w:ind w:left="360"/>
        <w:jc w:val="both"/>
        <w:rPr>
          <w:sz w:val="21"/>
          <w:szCs w:val="21"/>
        </w:rPr>
      </w:pPr>
    </w:p>
    <w:p w14:paraId="47830629" w14:textId="77777777" w:rsidR="00AA2867" w:rsidRPr="00B66F58" w:rsidRDefault="003C4E1D">
      <w:pPr>
        <w:numPr>
          <w:ilvl w:val="1"/>
          <w:numId w:val="9"/>
        </w:numPr>
        <w:spacing w:line="276" w:lineRule="auto"/>
        <w:ind w:left="0" w:firstLine="0"/>
        <w:jc w:val="both"/>
        <w:rPr>
          <w:sz w:val="21"/>
          <w:szCs w:val="21"/>
        </w:rPr>
      </w:pPr>
      <w:r w:rsidRPr="00B66F58">
        <w:rPr>
          <w:sz w:val="21"/>
          <w:szCs w:val="21"/>
        </w:rPr>
        <w:t>Considerando a análise desenvolvida no presente estudo técnico preliminar, a contratação mostra-se viável em termos de disponibilidade de mercado, forma de aquisição dos produtos, competitividade do mercado, não sendo possível observar óbices ao prosseguimento da presente contratação. Além disso, os itens objeto do presente instrumento são essenciais para cumprir as decisões judiciais, ratificando a importância da efetivação da contratação pretendida. Por fim, considerando que há recursos orçamentários alocados para atender as despesas da presente contratação, conclui-se pela total viabilidade da contratação pretendida.</w:t>
      </w:r>
    </w:p>
    <w:p w14:paraId="089035E1" w14:textId="77777777" w:rsidR="00AA2867" w:rsidRPr="00B66F58" w:rsidRDefault="00AA2867">
      <w:pPr>
        <w:spacing w:line="276" w:lineRule="auto"/>
        <w:jc w:val="both"/>
        <w:rPr>
          <w:sz w:val="21"/>
          <w:szCs w:val="21"/>
        </w:rPr>
      </w:pPr>
    </w:p>
    <w:p w14:paraId="1F6FAA31" w14:textId="5C6F291E" w:rsidR="00AA2867" w:rsidRPr="00B66F58" w:rsidRDefault="003C4E1D">
      <w:pPr>
        <w:spacing w:line="276" w:lineRule="auto"/>
        <w:jc w:val="center"/>
        <w:rPr>
          <w:sz w:val="21"/>
          <w:szCs w:val="21"/>
        </w:rPr>
      </w:pPr>
      <w:r w:rsidRPr="00B66F58">
        <w:rPr>
          <w:sz w:val="21"/>
          <w:szCs w:val="21"/>
        </w:rPr>
        <w:t>Guaíra, 1</w:t>
      </w:r>
      <w:r w:rsidR="00DD12EC" w:rsidRPr="00B66F58">
        <w:rPr>
          <w:sz w:val="21"/>
          <w:szCs w:val="21"/>
        </w:rPr>
        <w:t xml:space="preserve">8 </w:t>
      </w:r>
      <w:r w:rsidRPr="00B66F58">
        <w:rPr>
          <w:sz w:val="21"/>
          <w:szCs w:val="21"/>
        </w:rPr>
        <w:t xml:space="preserve">de </w:t>
      </w:r>
      <w:proofErr w:type="gramStart"/>
      <w:r w:rsidRPr="00B66F58">
        <w:rPr>
          <w:sz w:val="21"/>
          <w:szCs w:val="21"/>
        </w:rPr>
        <w:t>Junho</w:t>
      </w:r>
      <w:proofErr w:type="gramEnd"/>
      <w:r w:rsidRPr="00B66F58">
        <w:rPr>
          <w:sz w:val="21"/>
          <w:szCs w:val="21"/>
        </w:rPr>
        <w:t xml:space="preserve"> de 2024.</w:t>
      </w:r>
    </w:p>
    <w:p w14:paraId="19E0EF26" w14:textId="77777777" w:rsidR="00AA2867" w:rsidRPr="00B66F58" w:rsidRDefault="00AA2867">
      <w:pPr>
        <w:spacing w:line="276" w:lineRule="auto"/>
        <w:jc w:val="center"/>
        <w:rPr>
          <w:sz w:val="21"/>
          <w:szCs w:val="21"/>
        </w:rPr>
      </w:pPr>
    </w:p>
    <w:p w14:paraId="65433402" w14:textId="77777777" w:rsidR="00AA2867" w:rsidRPr="00B66F58" w:rsidRDefault="00AA2867">
      <w:pPr>
        <w:spacing w:line="276" w:lineRule="auto"/>
        <w:jc w:val="center"/>
        <w:rPr>
          <w:sz w:val="21"/>
          <w:szCs w:val="21"/>
        </w:rPr>
      </w:pPr>
    </w:p>
    <w:p w14:paraId="5E2F1B33" w14:textId="77777777" w:rsidR="00AA2867" w:rsidRPr="00B66F58" w:rsidRDefault="003C4E1D">
      <w:pPr>
        <w:spacing w:line="276" w:lineRule="auto"/>
        <w:jc w:val="center"/>
        <w:rPr>
          <w:sz w:val="21"/>
          <w:szCs w:val="21"/>
        </w:rPr>
      </w:pPr>
      <w:r w:rsidRPr="00B66F58">
        <w:rPr>
          <w:sz w:val="21"/>
          <w:szCs w:val="21"/>
        </w:rPr>
        <w:t>Atenciosamente,</w:t>
      </w:r>
    </w:p>
    <w:p w14:paraId="5BCFB973" w14:textId="77777777" w:rsidR="00AA2867" w:rsidRPr="00B66F58" w:rsidRDefault="00AA2867">
      <w:pPr>
        <w:spacing w:line="276" w:lineRule="auto"/>
        <w:jc w:val="center"/>
        <w:rPr>
          <w:sz w:val="21"/>
          <w:szCs w:val="21"/>
        </w:rPr>
      </w:pPr>
    </w:p>
    <w:p w14:paraId="443D959E" w14:textId="77777777" w:rsidR="00DD12EC" w:rsidRPr="00B66F58" w:rsidRDefault="00DD12EC">
      <w:pPr>
        <w:spacing w:line="276" w:lineRule="auto"/>
        <w:jc w:val="center"/>
        <w:rPr>
          <w:sz w:val="21"/>
          <w:szCs w:val="21"/>
        </w:rPr>
      </w:pPr>
    </w:p>
    <w:p w14:paraId="1B834988" w14:textId="77777777" w:rsidR="00DD12EC" w:rsidRPr="00B66F58" w:rsidRDefault="00DD12EC">
      <w:pPr>
        <w:spacing w:line="276" w:lineRule="auto"/>
        <w:jc w:val="center"/>
        <w:rPr>
          <w:sz w:val="21"/>
          <w:szCs w:val="21"/>
        </w:rPr>
      </w:pPr>
    </w:p>
    <w:p w14:paraId="5DD95CA0" w14:textId="77777777" w:rsidR="00DD12EC" w:rsidRPr="00B66F58" w:rsidRDefault="00DD12EC">
      <w:pPr>
        <w:spacing w:line="276" w:lineRule="auto"/>
        <w:jc w:val="center"/>
        <w:rPr>
          <w:sz w:val="21"/>
          <w:szCs w:val="21"/>
        </w:rPr>
      </w:pPr>
    </w:p>
    <w:p w14:paraId="3CBE89CA" w14:textId="77777777" w:rsidR="00DD12EC" w:rsidRPr="00B66F58" w:rsidRDefault="00DD12EC">
      <w:pPr>
        <w:spacing w:line="276" w:lineRule="auto"/>
        <w:jc w:val="center"/>
        <w:rPr>
          <w:sz w:val="21"/>
          <w:szCs w:val="21"/>
        </w:rPr>
      </w:pPr>
    </w:p>
    <w:p w14:paraId="4B0A4572" w14:textId="77777777" w:rsidR="00AA2867" w:rsidRPr="00B66F58" w:rsidRDefault="003C4E1D">
      <w:pPr>
        <w:spacing w:line="276" w:lineRule="auto"/>
        <w:jc w:val="center"/>
        <w:rPr>
          <w:color w:val="000000"/>
          <w:sz w:val="21"/>
          <w:szCs w:val="21"/>
        </w:rPr>
      </w:pPr>
      <w:proofErr w:type="spellStart"/>
      <w:r w:rsidRPr="00B66F58">
        <w:rPr>
          <w:b/>
          <w:color w:val="000000"/>
          <w:sz w:val="21"/>
          <w:szCs w:val="21"/>
        </w:rPr>
        <w:t>Suzel</w:t>
      </w:r>
      <w:proofErr w:type="spellEnd"/>
      <w:r w:rsidRPr="00B66F58">
        <w:rPr>
          <w:b/>
          <w:color w:val="000000"/>
          <w:sz w:val="21"/>
          <w:szCs w:val="21"/>
        </w:rPr>
        <w:t xml:space="preserve"> Cristina Pereira Gomes</w:t>
      </w:r>
    </w:p>
    <w:p w14:paraId="641709FE" w14:textId="77777777" w:rsidR="00AA2867" w:rsidRPr="00B66F58" w:rsidRDefault="003C4E1D">
      <w:pPr>
        <w:spacing w:line="276" w:lineRule="auto"/>
        <w:jc w:val="center"/>
        <w:rPr>
          <w:color w:val="000000"/>
          <w:sz w:val="21"/>
          <w:szCs w:val="21"/>
        </w:rPr>
      </w:pPr>
      <w:r w:rsidRPr="00B66F58">
        <w:rPr>
          <w:b/>
          <w:color w:val="000000"/>
          <w:sz w:val="21"/>
          <w:szCs w:val="21"/>
        </w:rPr>
        <w:t>Gestora – matricula: 2927-1</w:t>
      </w:r>
    </w:p>
    <w:p w14:paraId="62E73E79" w14:textId="77777777" w:rsidR="00AA2867" w:rsidRDefault="00AA2867">
      <w:pPr>
        <w:spacing w:line="276" w:lineRule="auto"/>
        <w:jc w:val="center"/>
        <w:rPr>
          <w:color w:val="000000"/>
        </w:rPr>
      </w:pPr>
    </w:p>
    <w:p w14:paraId="5C5482B2" w14:textId="77777777" w:rsidR="00AA2867" w:rsidRDefault="00AA2867">
      <w:pPr>
        <w:spacing w:line="276" w:lineRule="auto"/>
        <w:jc w:val="center"/>
        <w:rPr>
          <w:color w:val="000000"/>
        </w:rPr>
      </w:pPr>
    </w:p>
    <w:p w14:paraId="3126BF3B" w14:textId="77777777" w:rsidR="00AA2867" w:rsidRDefault="00AA2867">
      <w:pPr>
        <w:spacing w:line="276" w:lineRule="auto"/>
        <w:jc w:val="center"/>
        <w:rPr>
          <w:color w:val="000000"/>
        </w:rPr>
      </w:pPr>
    </w:p>
    <w:p w14:paraId="368308BC" w14:textId="77777777" w:rsidR="00AA2867" w:rsidRDefault="00AA2867">
      <w:pPr>
        <w:spacing w:line="276" w:lineRule="auto"/>
        <w:jc w:val="center"/>
        <w:rPr>
          <w:color w:val="000000"/>
        </w:rPr>
      </w:pPr>
    </w:p>
    <w:p w14:paraId="5BF2E704" w14:textId="77777777" w:rsidR="00AA2867" w:rsidRDefault="00AA2867">
      <w:pPr>
        <w:spacing w:line="276" w:lineRule="auto"/>
        <w:jc w:val="center"/>
        <w:rPr>
          <w:sz w:val="23"/>
          <w:szCs w:val="23"/>
        </w:rPr>
      </w:pPr>
    </w:p>
    <w:sectPr w:rsidR="00AA2867">
      <w:headerReference w:type="default" r:id="rId13"/>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927F" w14:textId="77777777" w:rsidR="003C4E1D" w:rsidRDefault="003C4E1D">
      <w:r>
        <w:separator/>
      </w:r>
    </w:p>
  </w:endnote>
  <w:endnote w:type="continuationSeparator" w:id="0">
    <w:p w14:paraId="495D9302" w14:textId="77777777" w:rsidR="003C4E1D" w:rsidRDefault="003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6AFD" w14:textId="77777777" w:rsidR="003C4E1D" w:rsidRDefault="003C4E1D">
      <w:r>
        <w:separator/>
      </w:r>
    </w:p>
  </w:footnote>
  <w:footnote w:type="continuationSeparator" w:id="0">
    <w:p w14:paraId="3771C9B8" w14:textId="77777777" w:rsidR="003C4E1D" w:rsidRDefault="003C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7DCA" w14:textId="77777777" w:rsidR="00AA2867" w:rsidRDefault="003C4E1D">
    <w:pPr>
      <w:pBdr>
        <w:top w:val="nil"/>
        <w:left w:val="nil"/>
        <w:bottom w:val="nil"/>
        <w:right w:val="nil"/>
        <w:between w:val="nil"/>
      </w:pBdr>
      <w:spacing w:line="276" w:lineRule="auto"/>
      <w:jc w:val="center"/>
      <w:rPr>
        <w:color w:val="000000"/>
        <w:sz w:val="32"/>
        <w:szCs w:val="32"/>
      </w:rPr>
    </w:pPr>
    <w:r>
      <w:rPr>
        <w:b/>
        <w:color w:val="000000"/>
        <w:sz w:val="32"/>
        <w:szCs w:val="32"/>
      </w:rPr>
      <w:t>PREFEITURA DO MUNICÍPIO DE GUAÍRA/SP</w:t>
    </w:r>
    <w:r>
      <w:rPr>
        <w:noProof/>
      </w:rPr>
      <w:drawing>
        <wp:anchor distT="0" distB="0" distL="0" distR="0" simplePos="0" relativeHeight="251658240" behindDoc="1" locked="0" layoutInCell="1" hidden="0" allowOverlap="1" wp14:anchorId="490F96A0" wp14:editId="76124838">
          <wp:simplePos x="0" y="0"/>
          <wp:positionH relativeFrom="column">
            <wp:posOffset>27305</wp:posOffset>
          </wp:positionH>
          <wp:positionV relativeFrom="paragraph">
            <wp:posOffset>163195</wp:posOffset>
          </wp:positionV>
          <wp:extent cx="824865" cy="10147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4865" cy="1014730"/>
                  </a:xfrm>
                  <a:prstGeom prst="rect">
                    <a:avLst/>
                  </a:prstGeom>
                  <a:ln/>
                </pic:spPr>
              </pic:pic>
            </a:graphicData>
          </a:graphic>
        </wp:anchor>
      </w:drawing>
    </w:r>
    <w:r>
      <w:rPr>
        <w:noProof/>
      </w:rPr>
      <w:drawing>
        <wp:anchor distT="0" distB="0" distL="0" distR="0" simplePos="0" relativeHeight="251659264" behindDoc="1" locked="0" layoutInCell="1" hidden="0" allowOverlap="1" wp14:anchorId="36699337" wp14:editId="0B417D06">
          <wp:simplePos x="0" y="0"/>
          <wp:positionH relativeFrom="column">
            <wp:posOffset>4615180</wp:posOffset>
          </wp:positionH>
          <wp:positionV relativeFrom="paragraph">
            <wp:posOffset>185420</wp:posOffset>
          </wp:positionV>
          <wp:extent cx="879475" cy="95440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9475" cy="954405"/>
                  </a:xfrm>
                  <a:prstGeom prst="rect">
                    <a:avLst/>
                  </a:prstGeom>
                  <a:ln/>
                </pic:spPr>
              </pic:pic>
            </a:graphicData>
          </a:graphic>
        </wp:anchor>
      </w:drawing>
    </w:r>
  </w:p>
  <w:p w14:paraId="2C7F9363" w14:textId="77777777" w:rsidR="00AA2867" w:rsidRDefault="003C4E1D">
    <w:pPr>
      <w:pBdr>
        <w:top w:val="nil"/>
        <w:left w:val="nil"/>
        <w:bottom w:val="nil"/>
        <w:right w:val="nil"/>
        <w:between w:val="nil"/>
      </w:pBdr>
      <w:tabs>
        <w:tab w:val="left" w:pos="660"/>
        <w:tab w:val="left" w:pos="1650"/>
        <w:tab w:val="center" w:pos="4252"/>
      </w:tabs>
      <w:spacing w:line="276" w:lineRule="auto"/>
      <w:jc w:val="center"/>
      <w:rPr>
        <w:color w:val="FF0000"/>
        <w:sz w:val="32"/>
        <w:szCs w:val="32"/>
      </w:rPr>
    </w:pPr>
    <w:r>
      <w:rPr>
        <w:b/>
        <w:color w:val="FF0000"/>
        <w:sz w:val="32"/>
        <w:szCs w:val="32"/>
      </w:rPr>
      <w:t>DIRETORIA MUNICIPAL DE SAUDE</w:t>
    </w:r>
  </w:p>
  <w:p w14:paraId="3546111C" w14:textId="77777777" w:rsidR="00AA2867" w:rsidRDefault="003C4E1D">
    <w:pPr>
      <w:pBdr>
        <w:top w:val="nil"/>
        <w:left w:val="nil"/>
        <w:bottom w:val="nil"/>
        <w:right w:val="nil"/>
        <w:between w:val="nil"/>
      </w:pBdr>
      <w:spacing w:line="276" w:lineRule="auto"/>
      <w:jc w:val="center"/>
      <w:rPr>
        <w:color w:val="000000"/>
        <w:sz w:val="22"/>
        <w:szCs w:val="22"/>
      </w:rPr>
    </w:pPr>
    <w:r>
      <w:rPr>
        <w:b/>
        <w:color w:val="000000"/>
        <w:sz w:val="22"/>
        <w:szCs w:val="22"/>
      </w:rPr>
      <w:t>CNPJ/MF nº 48.344.014/0001-59</w:t>
    </w:r>
  </w:p>
  <w:p w14:paraId="5C0B3856" w14:textId="77777777" w:rsidR="00AA2867" w:rsidRDefault="00B66F58">
    <w:pPr>
      <w:spacing w:line="276" w:lineRule="auto"/>
      <w:jc w:val="center"/>
      <w:rPr>
        <w:sz w:val="22"/>
        <w:szCs w:val="22"/>
      </w:rPr>
    </w:pPr>
    <w:hyperlink r:id="rId3">
      <w:r w:rsidR="003C4E1D">
        <w:rPr>
          <w:b/>
          <w:color w:val="000000"/>
          <w:sz w:val="22"/>
          <w:szCs w:val="22"/>
          <w:u w:val="single"/>
        </w:rPr>
        <w:t>saude.guaira@gmail.com</w:t>
      </w:r>
    </w:hyperlink>
  </w:p>
  <w:p w14:paraId="357D1AED" w14:textId="77777777" w:rsidR="00AA2867" w:rsidRDefault="00B66F58">
    <w:pPr>
      <w:pBdr>
        <w:bottom w:val="single" w:sz="6" w:space="1" w:color="000000"/>
      </w:pBdr>
      <w:spacing w:line="276" w:lineRule="auto"/>
      <w:jc w:val="center"/>
      <w:rPr>
        <w:sz w:val="22"/>
        <w:szCs w:val="22"/>
      </w:rPr>
    </w:pPr>
    <w:hyperlink r:id="rId4">
      <w:r w:rsidR="003C4E1D">
        <w:rPr>
          <w:b/>
          <w:color w:val="000000"/>
          <w:sz w:val="22"/>
          <w:szCs w:val="22"/>
          <w:u w:val="single"/>
        </w:rPr>
        <w:t>www.guaira.sp.gov.br</w:t>
      </w:r>
    </w:hyperlink>
  </w:p>
  <w:p w14:paraId="1B7ECE37" w14:textId="77777777" w:rsidR="00AA2867" w:rsidRDefault="00AA286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D59"/>
    <w:multiLevelType w:val="multilevel"/>
    <w:tmpl w:val="E952A7C4"/>
    <w:lvl w:ilvl="0">
      <w:start w:val="5"/>
      <w:numFmt w:val="decimal"/>
      <w:lvlText w:val="%1."/>
      <w:lvlJc w:val="left"/>
      <w:pPr>
        <w:ind w:left="360" w:hanging="360"/>
      </w:pPr>
      <w:rPr>
        <w:vertAlign w:val="baseline"/>
      </w:rPr>
    </w:lvl>
    <w:lvl w:ilvl="1">
      <w:start w:val="2"/>
      <w:numFmt w:val="decimal"/>
      <w:lvlText w:val="6.1."/>
      <w:lvlJc w:val="left"/>
      <w:pPr>
        <w:ind w:left="858"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EF45F96"/>
    <w:multiLevelType w:val="multilevel"/>
    <w:tmpl w:val="C492B8B4"/>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83646F"/>
    <w:multiLevelType w:val="multilevel"/>
    <w:tmpl w:val="8E26D68C"/>
    <w:lvl w:ilvl="0">
      <w:start w:val="5"/>
      <w:numFmt w:val="decimal"/>
      <w:lvlText w:val="%1."/>
      <w:lvlJc w:val="left"/>
      <w:pPr>
        <w:ind w:left="360" w:hanging="360"/>
      </w:pPr>
      <w:rPr>
        <w:vertAlign w:val="baseline"/>
      </w:rPr>
    </w:lvl>
    <w:lvl w:ilvl="1">
      <w:start w:val="2"/>
      <w:numFmt w:val="decimal"/>
      <w:lvlText w:val="13.1."/>
      <w:lvlJc w:val="left"/>
      <w:pPr>
        <w:ind w:left="574"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4146FE7"/>
    <w:multiLevelType w:val="multilevel"/>
    <w:tmpl w:val="72908C1E"/>
    <w:lvl w:ilvl="0">
      <w:start w:val="6"/>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1B8F7585"/>
    <w:multiLevelType w:val="multilevel"/>
    <w:tmpl w:val="6C380080"/>
    <w:lvl w:ilvl="0">
      <w:start w:val="3"/>
      <w:numFmt w:val="decimal"/>
      <w:lvlText w:val="%1."/>
      <w:lvlJc w:val="left"/>
      <w:pPr>
        <w:ind w:left="540" w:hanging="540"/>
      </w:pPr>
      <w:rPr>
        <w:vertAlign w:val="baseline"/>
      </w:rPr>
    </w:lvl>
    <w:lvl w:ilvl="1">
      <w:start w:val="1"/>
      <w:numFmt w:val="decimal"/>
      <w:lvlText w:val="%1.%2."/>
      <w:lvlJc w:val="left"/>
      <w:pPr>
        <w:ind w:left="540" w:hanging="540"/>
      </w:pPr>
      <w:rPr>
        <w:b/>
        <w:vertAlign w:val="baseline"/>
      </w:rPr>
    </w:lvl>
    <w:lvl w:ilvl="2">
      <w:start w:val="2"/>
      <w:numFmt w:val="decimal"/>
      <w:lvlText w:val="%1.%2.%3."/>
      <w:lvlJc w:val="left"/>
      <w:pPr>
        <w:ind w:left="862"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1DCA0B39"/>
    <w:multiLevelType w:val="multilevel"/>
    <w:tmpl w:val="73505EE6"/>
    <w:lvl w:ilvl="0">
      <w:start w:val="5"/>
      <w:numFmt w:val="decimal"/>
      <w:lvlText w:val="%1."/>
      <w:lvlJc w:val="left"/>
      <w:pPr>
        <w:ind w:left="360" w:hanging="360"/>
      </w:pPr>
      <w:rPr>
        <w:vertAlign w:val="baseline"/>
      </w:rPr>
    </w:lvl>
    <w:lvl w:ilvl="1">
      <w:start w:val="2"/>
      <w:numFmt w:val="decimal"/>
      <w:lvlText w:val="7.1."/>
      <w:lvlJc w:val="left"/>
      <w:pPr>
        <w:ind w:left="574"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21CE0F09"/>
    <w:multiLevelType w:val="multilevel"/>
    <w:tmpl w:val="08C4833A"/>
    <w:lvl w:ilvl="0">
      <w:start w:val="10"/>
      <w:numFmt w:val="decimal"/>
      <w:lvlText w:val="%1."/>
      <w:lvlJc w:val="left"/>
      <w:pPr>
        <w:ind w:left="480" w:hanging="480"/>
      </w:pPr>
      <w:rPr>
        <w:vertAlign w:val="baseline"/>
      </w:rPr>
    </w:lvl>
    <w:lvl w:ilvl="1">
      <w:start w:val="1"/>
      <w:numFmt w:val="decimal"/>
      <w:lvlText w:val="%1.%2."/>
      <w:lvlJc w:val="left"/>
      <w:pPr>
        <w:ind w:left="480" w:hanging="48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1D8085D"/>
    <w:multiLevelType w:val="hybridMultilevel"/>
    <w:tmpl w:val="25020F4E"/>
    <w:lvl w:ilvl="0" w:tplc="494A3366">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546D3F"/>
    <w:multiLevelType w:val="multilevel"/>
    <w:tmpl w:val="A6547A54"/>
    <w:lvl w:ilvl="0">
      <w:start w:val="5"/>
      <w:numFmt w:val="decimal"/>
      <w:lvlText w:val="%1."/>
      <w:lvlJc w:val="left"/>
      <w:pPr>
        <w:ind w:left="360" w:hanging="360"/>
      </w:pPr>
      <w:rPr>
        <w:b/>
        <w:vertAlign w:val="baseline"/>
      </w:rPr>
    </w:lvl>
    <w:lvl w:ilvl="1">
      <w:start w:val="1"/>
      <w:numFmt w:val="decimal"/>
      <w:lvlText w:val="5.%2."/>
      <w:lvlJc w:val="left"/>
      <w:pPr>
        <w:ind w:left="574"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2CCE1E64"/>
    <w:multiLevelType w:val="multilevel"/>
    <w:tmpl w:val="195A10FE"/>
    <w:lvl w:ilvl="0">
      <w:start w:val="5"/>
      <w:numFmt w:val="decimal"/>
      <w:lvlText w:val="%1."/>
      <w:lvlJc w:val="left"/>
      <w:pPr>
        <w:ind w:left="360" w:hanging="360"/>
      </w:pPr>
      <w:rPr>
        <w:vertAlign w:val="baseline"/>
      </w:rPr>
    </w:lvl>
    <w:lvl w:ilvl="1">
      <w:start w:val="2"/>
      <w:numFmt w:val="decimal"/>
      <w:lvlText w:val="4.%2."/>
      <w:lvlJc w:val="left"/>
      <w:pPr>
        <w:ind w:left="574"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3C6D52D1"/>
    <w:multiLevelType w:val="multilevel"/>
    <w:tmpl w:val="E31E8858"/>
    <w:lvl w:ilvl="0">
      <w:start w:val="1"/>
      <w:numFmt w:val="decimal"/>
      <w:lvlText w:val="%1."/>
      <w:lvlJc w:val="left"/>
      <w:pPr>
        <w:ind w:left="360" w:hanging="360"/>
      </w:pPr>
      <w:rPr>
        <w:vertAlign w:val="baseline"/>
      </w:rPr>
    </w:lvl>
    <w:lvl w:ilvl="1">
      <w:start w:val="1"/>
      <w:numFmt w:val="decimal"/>
      <w:lvlText w:val="%1.%2."/>
      <w:lvlJc w:val="left"/>
      <w:pPr>
        <w:ind w:left="792"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5B8664E"/>
    <w:multiLevelType w:val="multilevel"/>
    <w:tmpl w:val="28824E3E"/>
    <w:lvl w:ilvl="0">
      <w:start w:val="3"/>
      <w:numFmt w:val="decimal"/>
      <w:lvlText w:val="%1."/>
      <w:lvlJc w:val="left"/>
      <w:pPr>
        <w:ind w:left="360" w:hanging="360"/>
      </w:pPr>
      <w:rPr>
        <w:b w:val="0"/>
        <w:vertAlign w:val="baseline"/>
      </w:rPr>
    </w:lvl>
    <w:lvl w:ilvl="1">
      <w:start w:val="4"/>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E0D7CAE"/>
    <w:multiLevelType w:val="multilevel"/>
    <w:tmpl w:val="0BAC3664"/>
    <w:lvl w:ilvl="0">
      <w:start w:val="12"/>
      <w:numFmt w:val="decimal"/>
      <w:lvlText w:val="%1."/>
      <w:lvlJc w:val="left"/>
      <w:pPr>
        <w:ind w:left="480" w:hanging="480"/>
      </w:pPr>
      <w:rPr>
        <w:b w:val="0"/>
        <w:vertAlign w:val="baseline"/>
      </w:rPr>
    </w:lvl>
    <w:lvl w:ilvl="1">
      <w:start w:val="1"/>
      <w:numFmt w:val="decimal"/>
      <w:lvlText w:val="%1.%2."/>
      <w:lvlJc w:val="left"/>
      <w:pPr>
        <w:ind w:left="480" w:hanging="48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15:restartNumberingAfterBreak="0">
    <w:nsid w:val="63CE31FD"/>
    <w:multiLevelType w:val="multilevel"/>
    <w:tmpl w:val="D736C0A2"/>
    <w:lvl w:ilvl="0">
      <w:start w:val="4"/>
      <w:numFmt w:val="decimal"/>
      <w:lvlText w:val="%1."/>
      <w:lvlJc w:val="left"/>
      <w:pPr>
        <w:ind w:left="360" w:hanging="360"/>
      </w:pPr>
      <w:rPr>
        <w:vertAlign w:val="baseline"/>
      </w:rPr>
    </w:lvl>
    <w:lvl w:ilvl="1">
      <w:start w:val="1"/>
      <w:numFmt w:val="decimal"/>
      <w:lvlText w:val="3.%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64206EB9"/>
    <w:multiLevelType w:val="multilevel"/>
    <w:tmpl w:val="E4CE40C8"/>
    <w:lvl w:ilvl="0">
      <w:start w:val="8"/>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6EFB6ED5"/>
    <w:multiLevelType w:val="multilevel"/>
    <w:tmpl w:val="85C418D8"/>
    <w:lvl w:ilvl="0">
      <w:start w:val="5"/>
      <w:numFmt w:val="decimal"/>
      <w:lvlText w:val="%1."/>
      <w:lvlJc w:val="left"/>
      <w:pPr>
        <w:ind w:left="360" w:hanging="360"/>
      </w:pPr>
      <w:rPr>
        <w:vertAlign w:val="baseline"/>
      </w:rPr>
    </w:lvl>
    <w:lvl w:ilvl="1">
      <w:start w:val="2"/>
      <w:numFmt w:val="decimal"/>
      <w:lvlText w:val="11.1."/>
      <w:lvlJc w:val="left"/>
      <w:pPr>
        <w:ind w:left="574" w:hanging="432"/>
      </w:pPr>
      <w:rPr>
        <w:b/>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564835076">
    <w:abstractNumId w:val="12"/>
  </w:num>
  <w:num w:numId="2" w16cid:durableId="1675179678">
    <w:abstractNumId w:val="9"/>
  </w:num>
  <w:num w:numId="3" w16cid:durableId="677006417">
    <w:abstractNumId w:val="0"/>
  </w:num>
  <w:num w:numId="4" w16cid:durableId="1028676843">
    <w:abstractNumId w:val="10"/>
  </w:num>
  <w:num w:numId="5" w16cid:durableId="458307732">
    <w:abstractNumId w:val="6"/>
  </w:num>
  <w:num w:numId="6" w16cid:durableId="385224246">
    <w:abstractNumId w:val="3"/>
  </w:num>
  <w:num w:numId="7" w16cid:durableId="1090389572">
    <w:abstractNumId w:val="15"/>
  </w:num>
  <w:num w:numId="8" w16cid:durableId="1644235883">
    <w:abstractNumId w:val="5"/>
  </w:num>
  <w:num w:numId="9" w16cid:durableId="1237596306">
    <w:abstractNumId w:val="2"/>
  </w:num>
  <w:num w:numId="10" w16cid:durableId="1945454232">
    <w:abstractNumId w:val="4"/>
  </w:num>
  <w:num w:numId="11" w16cid:durableId="2011563964">
    <w:abstractNumId w:val="14"/>
  </w:num>
  <w:num w:numId="12" w16cid:durableId="221525975">
    <w:abstractNumId w:val="11"/>
  </w:num>
  <w:num w:numId="13" w16cid:durableId="1559979059">
    <w:abstractNumId w:val="13"/>
  </w:num>
  <w:num w:numId="14" w16cid:durableId="1847793016">
    <w:abstractNumId w:val="8"/>
  </w:num>
  <w:num w:numId="15" w16cid:durableId="178646414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568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67"/>
    <w:rsid w:val="00150D49"/>
    <w:rsid w:val="00217FE5"/>
    <w:rsid w:val="003C4E1D"/>
    <w:rsid w:val="00601CD6"/>
    <w:rsid w:val="00635031"/>
    <w:rsid w:val="0072143C"/>
    <w:rsid w:val="00746957"/>
    <w:rsid w:val="0088049B"/>
    <w:rsid w:val="00886AF0"/>
    <w:rsid w:val="00955E9B"/>
    <w:rsid w:val="00A92B56"/>
    <w:rsid w:val="00AA2867"/>
    <w:rsid w:val="00AD7D15"/>
    <w:rsid w:val="00B66F58"/>
    <w:rsid w:val="00DB5900"/>
    <w:rsid w:val="00DD12EC"/>
    <w:rsid w:val="00F27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C61"/>
  <w15:docId w15:val="{96479FEB-4612-464C-BA82-BE6B144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AD7D15"/>
    <w:pPr>
      <w:spacing w:before="100" w:beforeAutospacing="1" w:after="100" w:afterAutospacing="1"/>
    </w:pPr>
    <w:rPr>
      <w:sz w:val="24"/>
      <w:szCs w:val="24"/>
    </w:rPr>
  </w:style>
  <w:style w:type="paragraph" w:styleId="PargrafodaLista">
    <w:name w:val="List Paragraph"/>
    <w:basedOn w:val="Normal"/>
    <w:uiPriority w:val="34"/>
    <w:qFormat/>
    <w:rsid w:val="0088049B"/>
    <w:pPr>
      <w:ind w:left="720"/>
      <w:contextualSpacing/>
    </w:pPr>
  </w:style>
  <w:style w:type="character" w:styleId="Hyperlink">
    <w:name w:val="Hyperlink"/>
    <w:basedOn w:val="Fontepargpadro"/>
    <w:uiPriority w:val="99"/>
    <w:unhideWhenUsed/>
    <w:rsid w:val="00746957"/>
    <w:rPr>
      <w:color w:val="0000FF" w:themeColor="hyperlink"/>
      <w:u w:val="single"/>
    </w:rPr>
  </w:style>
  <w:style w:type="character" w:styleId="MenoPendente">
    <w:name w:val="Unresolved Mention"/>
    <w:basedOn w:val="Fontepargpadro"/>
    <w:uiPriority w:val="99"/>
    <w:semiHidden/>
    <w:unhideWhenUsed/>
    <w:rsid w:val="00746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7723">
      <w:bodyDiv w:val="1"/>
      <w:marLeft w:val="0"/>
      <w:marRight w:val="0"/>
      <w:marTop w:val="0"/>
      <w:marBottom w:val="0"/>
      <w:divBdr>
        <w:top w:val="none" w:sz="0" w:space="0" w:color="auto"/>
        <w:left w:val="none" w:sz="0" w:space="0" w:color="auto"/>
        <w:bottom w:val="none" w:sz="0" w:space="0" w:color="auto"/>
        <w:right w:val="none" w:sz="0" w:space="0" w:color="auto"/>
      </w:divBdr>
    </w:div>
    <w:div w:id="989018796">
      <w:bodyDiv w:val="1"/>
      <w:marLeft w:val="0"/>
      <w:marRight w:val="0"/>
      <w:marTop w:val="0"/>
      <w:marBottom w:val="0"/>
      <w:divBdr>
        <w:top w:val="none" w:sz="0" w:space="0" w:color="auto"/>
        <w:left w:val="none" w:sz="0" w:space="0" w:color="auto"/>
        <w:bottom w:val="none" w:sz="0" w:space="0" w:color="auto"/>
        <w:right w:val="none" w:sz="0" w:space="0" w:color="auto"/>
      </w:divBdr>
    </w:div>
    <w:div w:id="109165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assuntos/medicamentos/cmed/prec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guaira.sp.gov.br"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guaira.sp.gov.b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10:28:21.623"/>
    </inkml:context>
    <inkml:brush xml:id="br0">
      <inkml:brushProperty name="width" value="0.035" units="cm"/>
      <inkml:brushProperty name="height" value="0.035" units="cm"/>
      <inkml:brushProperty name="color" value="#FFC11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10:28:23.467"/>
    </inkml:context>
    <inkml:brush xml:id="br0">
      <inkml:brushProperty name="width" value="0.035" units="cm"/>
      <inkml:brushProperty name="height" value="0.035" units="cm"/>
      <inkml:brushProperty name="color" value="#FFC114"/>
    </inkml:brush>
  </inkml:definitions>
  <inkml:trace contextRef="#ctx0" brushRef="#br0">0 0 24575,'0'5'0,"9"1"0,7 4 0,11 1 0,0-2-8191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FFD6-2A9E-446F-B7CC-CA152F91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2067</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saude14</dc:creator>
  <cp:lastModifiedBy>saude14</cp:lastModifiedBy>
  <cp:revision>3</cp:revision>
  <cp:lastPrinted>2024-06-19T14:38:00Z</cp:lastPrinted>
  <dcterms:created xsi:type="dcterms:W3CDTF">2024-06-19T14:26:00Z</dcterms:created>
  <dcterms:modified xsi:type="dcterms:W3CDTF">2024-06-19T14:40:00Z</dcterms:modified>
</cp:coreProperties>
</file>